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b w:val="1"/>
          <w:bCs w:val="1"/>
          <w:sz w:val="28"/>
          <w:szCs w:val="28"/>
        </w:rPr>
      </w:pPr>
      <w:r w:rsidDel="00000000" w:rsidR="00000000" w:rsidRPr="00000000">
        <w:rPr>
          <w:b w:val="1"/>
          <w:bCs w:val="1"/>
          <w:sz w:val="28"/>
          <w:szCs w:val="28"/>
          <w:rtl w:val="0"/>
        </w:rPr>
        <w:t xml:space="preserve">SPECIAL CONDITIONS FOR EUROPEAN UNION EXTERNAL ACTIONS</w:t>
      </w:r>
    </w:p>
    <w:p w:rsidR="00000000" w:rsidDel="00000000" w:rsidP="00000000" w:rsidRDefault="00000000" w:rsidRPr="00000000" w14:paraId="00000002">
      <w:pPr>
        <w:spacing w:after="0" w:before="0" w:lineRule="auto"/>
        <w:rPr>
          <w:sz w:val="22"/>
          <w:szCs w:val="22"/>
        </w:rPr>
      </w:pPr>
      <w:r w:rsidDel="00000000" w:rsidR="00000000" w:rsidRPr="00000000">
        <w:rPr>
          <w:sz w:val="22"/>
          <w:szCs w:val="22"/>
          <w:rtl w:val="0"/>
        </w:rPr>
        <w:t xml:space="preserve">These conditions amplify and supplement the general conditions governing the contract. Unless the special conditions provide otherwise, the general conditions remain fully applicable. The numbering of the Articles of the special conditions is not consecutive but follows the numbering of the general conditions. Exceptionally, and with the approval of the competent European Commission departments, other clauses can be indicated to cover particular situations.</w:t>
      </w:r>
    </w:p>
    <w:p w:rsidR="00000000" w:rsidDel="00000000" w:rsidP="00000000" w:rsidRDefault="00000000" w:rsidRPr="00000000" w14:paraId="00000003">
      <w:pPr>
        <w:spacing w:after="0" w:before="0" w:lineRule="auto"/>
        <w:rPr>
          <w:sz w:val="22"/>
          <w:szCs w:val="22"/>
        </w:rPr>
      </w:pPr>
      <w:r w:rsidDel="00000000" w:rsidR="00000000" w:rsidRPr="00000000">
        <w:rPr>
          <w:highlight w:val="lightGray"/>
          <w:rtl w:val="0"/>
        </w:rPr>
        <w:t xml:space="preserve">This contract is a global price contract.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Order of precedence of contract documents</w:t>
      </w:r>
    </w:p>
    <w:p w:rsidR="00000000" w:rsidDel="00000000" w:rsidP="00000000" w:rsidRDefault="00000000" w:rsidRPr="00000000" w14:paraId="00000005">
      <w:pPr>
        <w:spacing w:after="0" w:before="0" w:lineRule="auto"/>
        <w:ind w:left="284" w:firstLine="0"/>
        <w:rPr>
          <w:sz w:val="22"/>
          <w:szCs w:val="22"/>
        </w:rPr>
      </w:pPr>
      <w:r w:rsidDel="00000000" w:rsidR="00000000" w:rsidRPr="00000000">
        <w:rPr>
          <w:sz w:val="22"/>
          <w:szCs w:val="22"/>
          <w:rtl w:val="0"/>
        </w:rPr>
        <w:t xml:space="preserve">The following documents shall be deemed to form and be read and construed as part of this contract, in the following order of precedence:</w:t>
      </w:r>
    </w:p>
    <w:p w:rsidR="00000000" w:rsidDel="00000000" w:rsidP="00000000" w:rsidRDefault="00000000" w:rsidRPr="00000000" w14:paraId="00000006">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the main conditions;</w:t>
      </w:r>
    </w:p>
    <w:p w:rsidR="00000000" w:rsidDel="00000000" w:rsidP="00000000" w:rsidRDefault="00000000" w:rsidRPr="00000000" w14:paraId="00000007">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the special conditions;</w:t>
      </w:r>
    </w:p>
    <w:p w:rsidR="00000000" w:rsidDel="00000000" w:rsidP="00000000" w:rsidRDefault="00000000" w:rsidRPr="00000000" w14:paraId="00000008">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the general conditions (Annex I);</w:t>
      </w:r>
      <w:r w:rsidDel="00000000" w:rsidR="00000000" w:rsidRPr="00000000">
        <w:rPr>
          <w:rtl w:val="0"/>
        </w:rPr>
      </w:r>
    </w:p>
    <w:p w:rsidR="00000000" w:rsidDel="00000000" w:rsidP="00000000" w:rsidRDefault="00000000" w:rsidRPr="00000000" w14:paraId="00000009">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the terms of reference  (Annex II);</w:t>
      </w:r>
    </w:p>
    <w:p w:rsidR="00000000" w:rsidDel="00000000" w:rsidP="00000000" w:rsidRDefault="00000000" w:rsidRPr="00000000" w14:paraId="0000000A">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the organisation and methodology </w:t>
      </w:r>
      <w:r w:rsidDel="00000000" w:rsidR="00000000" w:rsidRPr="00000000">
        <w:rPr>
          <w:sz w:val="22"/>
          <w:szCs w:val="22"/>
          <w:rtl w:val="0"/>
        </w:rPr>
        <w:t xml:space="preserve">(Annex III);</w:t>
      </w:r>
      <w:r w:rsidDel="00000000" w:rsidR="00000000" w:rsidRPr="00000000">
        <w:rPr>
          <w:rtl w:val="0"/>
        </w:rPr>
      </w:r>
    </w:p>
    <w:p w:rsidR="00000000" w:rsidDel="00000000" w:rsidP="00000000" w:rsidRDefault="00000000" w:rsidRPr="00000000" w14:paraId="0000000B">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Budget </w:t>
      </w:r>
      <w:r w:rsidDel="00000000" w:rsidR="00000000" w:rsidRPr="00000000">
        <w:rPr>
          <w:sz w:val="22"/>
          <w:szCs w:val="22"/>
          <w:rtl w:val="0"/>
        </w:rPr>
        <w:t xml:space="preserve">(Annex V);</w:t>
      </w:r>
    </w:p>
    <w:p w:rsidR="00000000" w:rsidDel="00000000" w:rsidP="00000000" w:rsidRDefault="00000000" w:rsidRPr="00000000" w14:paraId="0000000C">
      <w:pPr>
        <w:widowControl w:val="0"/>
        <w:numPr>
          <w:ilvl w:val="0"/>
          <w:numId w:val="1"/>
        </w:numPr>
        <w:spacing w:after="0" w:before="0" w:lineRule="auto"/>
        <w:ind w:left="709" w:hanging="284"/>
        <w:rPr>
          <w:sz w:val="22"/>
          <w:szCs w:val="22"/>
        </w:rPr>
      </w:pPr>
      <w:r w:rsidDel="00000000" w:rsidR="00000000" w:rsidRPr="00000000">
        <w:rPr>
          <w:sz w:val="22"/>
          <w:szCs w:val="22"/>
          <w:rtl w:val="0"/>
        </w:rPr>
        <w:t xml:space="preserve">specified forms and other relevant documents (Annex VI);</w:t>
      </w:r>
    </w:p>
    <w:p w:rsidR="00000000" w:rsidDel="00000000" w:rsidP="00000000" w:rsidRDefault="00000000" w:rsidRPr="00000000" w14:paraId="0000000D">
      <w:pPr>
        <w:spacing w:after="0" w:before="0" w:lineRule="auto"/>
        <w:ind w:left="567" w:firstLine="0"/>
        <w:rPr>
          <w:b w:val="1"/>
          <w:bCs w:val="1"/>
          <w:sz w:val="22"/>
          <w:szCs w:val="22"/>
        </w:rPr>
      </w:pPr>
      <w:r w:rsidDel="00000000" w:rsidR="00000000" w:rsidRPr="00000000">
        <w:rPr>
          <w:b w:val="1"/>
          <w:bCs w:val="1"/>
          <w:sz w:val="22"/>
          <w:szCs w:val="22"/>
          <w:rtl w:val="0"/>
        </w:rPr>
        <w:t xml:space="preserve">The various documents making up the contract shall be deemed to be mutually explanatory; in cases of ambiguity or divergence, they shall prevail in the order in which they appear above. Addenda shall have the order of precedence of the document they are amending. </w:t>
      </w:r>
    </w:p>
    <w:p w:rsidR="00000000" w:rsidDel="00000000" w:rsidP="00000000" w:rsidRDefault="00000000" w:rsidRPr="00000000" w14:paraId="0000000E">
      <w:pPr>
        <w:spacing w:after="0" w:before="0" w:lineRule="auto"/>
        <w:ind w:left="1134" w:hanging="1134"/>
        <w:rPr>
          <w:b w:val="1"/>
          <w:bCs w:val="1"/>
        </w:rPr>
      </w:pPr>
      <w:r w:rsidDel="00000000" w:rsidR="00000000" w:rsidRPr="00000000">
        <w:rPr>
          <w:b w:val="1"/>
          <w:bCs w:val="1"/>
          <w:rtl w:val="0"/>
        </w:rPr>
        <w:t xml:space="preserve">Article 2</w:t>
        <w:tab/>
        <w:t xml:space="preserve">Communications</w:t>
      </w:r>
    </w:p>
    <w:p w:rsidR="00000000" w:rsidDel="00000000" w:rsidP="00000000" w:rsidRDefault="00000000" w:rsidRPr="00000000" w14:paraId="0000000F">
      <w:pPr>
        <w:keepNext w:val="1"/>
        <w:keepLines w:val="1"/>
        <w:spacing w:after="0" w:before="0" w:lineRule="auto"/>
        <w:ind w:left="567" w:hanging="567"/>
        <w:rPr>
          <w:sz w:val="22"/>
          <w:szCs w:val="22"/>
        </w:rPr>
      </w:pPr>
      <w:r w:rsidDel="00000000" w:rsidR="00000000" w:rsidRPr="00000000">
        <w:rPr>
          <w:sz w:val="22"/>
          <w:szCs w:val="22"/>
          <w:rtl w:val="0"/>
        </w:rPr>
        <w:t xml:space="preserve">2.1</w:t>
        <w:tab/>
        <w:t xml:space="preserve">The language of the contract and of all written communications between the contractor and the contracting authority and/or the project manager shall be English. </w:t>
      </w:r>
    </w:p>
    <w:p w:rsidR="00000000" w:rsidDel="00000000" w:rsidP="00000000" w:rsidRDefault="00000000" w:rsidRPr="00000000" w14:paraId="00000010">
      <w:pPr>
        <w:keepNext w:val="1"/>
        <w:keepLines w:val="1"/>
        <w:spacing w:after="0" w:before="0" w:lineRule="auto"/>
        <w:ind w:left="567" w:hanging="567"/>
        <w:rPr>
          <w:rFonts w:ascii="Times New Roman" w:cs="Times New Roman" w:eastAsia="Times New Roman" w:hAnsi="Times New Roman"/>
          <w:b w:val="0"/>
          <w:bCs w:val="0"/>
          <w:i w:val="0"/>
          <w:iCs w:val="0"/>
          <w:smallCaps w:val="0"/>
          <w:strike w:val="0"/>
          <w:color w:val="000000"/>
          <w:sz w:val="22"/>
          <w:szCs w:val="22"/>
          <w:u w:val="none"/>
          <w:vertAlign w:val="baseline"/>
        </w:rPr>
      </w:pPr>
      <w:bookmarkStart w:colFirst="0" w:colLast="0" w:name="_frtkicrk84bx" w:id="0"/>
      <w:bookmarkEnd w:id="0"/>
      <w:r w:rsidDel="00000000" w:rsidR="00000000" w:rsidRPr="00000000">
        <w:rPr>
          <w:sz w:val="22"/>
          <w:szCs w:val="22"/>
          <w:rtl w:val="0"/>
        </w:rPr>
        <w:t xml:space="preserve">2.2</w:t>
        <w:tab/>
        <w:t xml:space="preserve">Communication details</w:t>
      </w:r>
      <w:r w:rsidDel="00000000" w:rsidR="00000000" w:rsidRPr="00000000">
        <w:rPr>
          <w:strike w:val="1"/>
          <w:sz w:val="22"/>
          <w:szCs w:val="22"/>
          <w:rtl w:val="0"/>
        </w:rPr>
        <w:t xml:space="preserve"> </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1">
      <w:pPr>
        <w:pStyle w:val="Heading3"/>
        <w:tabs>
          <w:tab w:val="left" w:leader="none" w:pos="762"/>
        </w:tabs>
        <w:spacing w:after="0" w:before="0" w:lineRule="auto"/>
        <w:jc w:val="left"/>
        <w:rPr>
          <w:i w:val="0"/>
          <w:iCs w:val="0"/>
          <w:sz w:val="22"/>
          <w:szCs w:val="22"/>
        </w:rPr>
      </w:pPr>
      <w:r w:rsidDel="00000000" w:rsidR="00000000" w:rsidRPr="00000000">
        <w:rPr>
          <w:i w:val="0"/>
          <w:iCs w:val="0"/>
          <w:sz w:val="22"/>
          <w:szCs w:val="22"/>
          <w:rtl w:val="0"/>
        </w:rPr>
        <w:t xml:space="preserve">2.5 &amp; 2.6 Mail or email communication </w:t>
      </w:r>
    </w:p>
    <w:p w:rsidR="00000000" w:rsidDel="00000000" w:rsidP="00000000" w:rsidRDefault="00000000" w:rsidRPr="00000000" w14:paraId="00000012">
      <w:pPr>
        <w:keepNext w:val="1"/>
        <w:keepLines w:val="1"/>
        <w:spacing w:after="0" w:before="0" w:lineRule="auto"/>
        <w:ind w:left="567" w:firstLine="0"/>
        <w:rPr>
          <w:sz w:val="22"/>
          <w:szCs w:val="22"/>
        </w:rPr>
      </w:pPr>
      <w:r w:rsidDel="00000000" w:rsidR="00000000" w:rsidRPr="00000000">
        <w:rPr>
          <w:sz w:val="22"/>
          <w:szCs w:val="22"/>
          <w:rtl w:val="0"/>
        </w:rPr>
        <w:t xml:space="preserve">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left"/>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For the purpose of this contract, mail or email communications must be sent to the following addresses: </w:t>
      </w:r>
      <w:r w:rsidDel="00000000" w:rsidR="00000000" w:rsidRPr="00000000">
        <w:rPr>
          <w:rtl w:val="0"/>
        </w:rPr>
      </w:r>
    </w:p>
    <w:p w:rsidR="00000000" w:rsidDel="00000000" w:rsidP="00000000" w:rsidRDefault="00000000" w:rsidRPr="00000000" w14:paraId="00000014">
      <w:pPr>
        <w:spacing w:after="0" w:before="0" w:lineRule="auto"/>
        <w:ind w:left="720" w:firstLine="0"/>
        <w:jc w:val="left"/>
        <w:rPr>
          <w:b w:val="1"/>
          <w:bCs w:val="1"/>
          <w:sz w:val="22"/>
          <w:szCs w:val="22"/>
        </w:rPr>
      </w:pPr>
      <w:r w:rsidDel="00000000" w:rsidR="00000000" w:rsidRPr="00000000">
        <w:rPr>
          <w:sz w:val="22"/>
          <w:szCs w:val="22"/>
          <w:rtl w:val="0"/>
        </w:rPr>
        <w:t xml:space="preserve">Contracting authority: </w:t>
      </w:r>
      <w:r w:rsidDel="00000000" w:rsidR="00000000" w:rsidRPr="00000000">
        <w:rPr>
          <w:b w:val="1"/>
          <w:bCs w:val="1"/>
          <w:sz w:val="22"/>
          <w:szCs w:val="22"/>
          <w:rtl w:val="0"/>
        </w:rPr>
        <w:t xml:space="preserve">Javno preduzeće za nacionalne parkove Crne Gore</w:t>
      </w:r>
    </w:p>
    <w:p w:rsidR="00000000" w:rsidDel="00000000" w:rsidP="00000000" w:rsidRDefault="00000000" w:rsidRPr="00000000" w14:paraId="00000015">
      <w:pPr>
        <w:spacing w:after="0" w:before="0" w:lineRule="auto"/>
        <w:ind w:left="720" w:firstLine="0"/>
        <w:jc w:val="left"/>
        <w:rPr>
          <w:b w:val="1"/>
          <w:bCs w:val="1"/>
          <w:sz w:val="22"/>
          <w:szCs w:val="22"/>
        </w:rPr>
      </w:pPr>
      <w:r w:rsidDel="00000000" w:rsidR="00000000" w:rsidRPr="00000000">
        <w:rPr>
          <w:sz w:val="22"/>
          <w:szCs w:val="22"/>
          <w:rtl w:val="0"/>
        </w:rPr>
        <w:t xml:space="preserve">Address:</w:t>
      </w:r>
      <w:r w:rsidDel="00000000" w:rsidR="00000000" w:rsidRPr="00000000">
        <w:rPr>
          <w:b w:val="1"/>
          <w:bCs w:val="1"/>
          <w:sz w:val="22"/>
          <w:szCs w:val="22"/>
          <w:rtl w:val="0"/>
        </w:rPr>
        <w:t xml:space="preserve"> Trg Vojvode Bećir-bega Osmanagića 16, 81000 Podgorica, Montenegro</w:t>
      </w:r>
    </w:p>
    <w:p w:rsidR="00000000" w:rsidDel="00000000" w:rsidP="00000000" w:rsidRDefault="00000000" w:rsidRPr="00000000" w14:paraId="00000016">
      <w:pPr>
        <w:spacing w:after="0" w:before="0" w:lineRule="auto"/>
        <w:ind w:left="720" w:firstLine="0"/>
        <w:jc w:val="left"/>
        <w:rPr>
          <w:b w:val="1"/>
          <w:bCs w:val="1"/>
          <w:sz w:val="22"/>
          <w:szCs w:val="22"/>
        </w:rPr>
      </w:pPr>
      <w:r w:rsidDel="00000000" w:rsidR="00000000" w:rsidRPr="00000000">
        <w:rPr>
          <w:sz w:val="22"/>
          <w:szCs w:val="22"/>
          <w:rtl w:val="0"/>
        </w:rPr>
        <w:t xml:space="preserve">Full name: </w:t>
      </w:r>
      <w:r w:rsidDel="00000000" w:rsidR="00000000" w:rsidRPr="00000000">
        <w:rPr>
          <w:b w:val="1"/>
          <w:bCs w:val="1"/>
          <w:sz w:val="22"/>
          <w:szCs w:val="22"/>
          <w:rtl w:val="0"/>
        </w:rPr>
        <w:t xml:space="preserve">Dragiša Damjanović</w:t>
      </w:r>
    </w:p>
    <w:p w:rsidR="00000000" w:rsidDel="00000000" w:rsidP="00000000" w:rsidRDefault="00000000" w:rsidRPr="00000000" w14:paraId="00000017">
      <w:pPr>
        <w:spacing w:after="0" w:before="0" w:lineRule="auto"/>
        <w:ind w:left="720" w:firstLine="0"/>
        <w:jc w:val="left"/>
        <w:rPr>
          <w:b w:val="1"/>
          <w:bCs w:val="1"/>
          <w:sz w:val="22"/>
          <w:szCs w:val="22"/>
        </w:rPr>
      </w:pPr>
      <w:r w:rsidDel="00000000" w:rsidR="00000000" w:rsidRPr="00000000">
        <w:rPr>
          <w:sz w:val="22"/>
          <w:szCs w:val="22"/>
          <w:rtl w:val="0"/>
        </w:rPr>
        <w:t xml:space="preserve">E-mail:</w:t>
      </w:r>
      <w:r w:rsidDel="00000000" w:rsidR="00000000" w:rsidRPr="00000000">
        <w:rPr>
          <w:b w:val="1"/>
          <w:bCs w:val="1"/>
          <w:sz w:val="22"/>
          <w:szCs w:val="22"/>
          <w:rtl w:val="0"/>
        </w:rPr>
        <w:t xml:space="preserve"> dragisadamjanovic@nparkovi.me</w:t>
      </w:r>
    </w:p>
    <w:p w:rsidR="00000000" w:rsidDel="00000000" w:rsidP="00000000" w:rsidRDefault="00000000" w:rsidRPr="00000000" w14:paraId="00000018">
      <w:pPr>
        <w:widowControl w:val="0"/>
        <w:spacing w:after="0" w:before="0" w:lineRule="auto"/>
        <w:ind w:left="720" w:firstLine="0"/>
        <w:jc w:val="left"/>
        <w:rPr>
          <w:sz w:val="22"/>
          <w:szCs w:val="22"/>
        </w:rPr>
      </w:pPr>
      <w:r w:rsidDel="00000000" w:rsidR="00000000" w:rsidRPr="00000000">
        <w:rPr>
          <w:sz w:val="22"/>
          <w:szCs w:val="22"/>
          <w:rtl w:val="0"/>
        </w:rPr>
        <w:t xml:space="preserve">Contractor: [</w:t>
      </w:r>
      <w:r w:rsidDel="00000000" w:rsidR="00000000" w:rsidRPr="00000000">
        <w:rPr>
          <w:sz w:val="22"/>
          <w:szCs w:val="22"/>
          <w:highlight w:val="lightGray"/>
          <w:rtl w:val="0"/>
        </w:rPr>
        <w:t xml:space="preserve">Full name</w:t>
      </w:r>
      <w:r w:rsidDel="00000000" w:rsidR="00000000" w:rsidRPr="00000000">
        <w:rPr>
          <w:sz w:val="22"/>
          <w:szCs w:val="22"/>
          <w:rtl w:val="0"/>
        </w:rPr>
        <w:t xml:space="preserve">], [</w:t>
      </w:r>
      <w:r w:rsidDel="00000000" w:rsidR="00000000" w:rsidRPr="00000000">
        <w:rPr>
          <w:sz w:val="22"/>
          <w:szCs w:val="22"/>
          <w:highlight w:val="lightGray"/>
          <w:rtl w:val="0"/>
        </w:rPr>
        <w:t xml:space="preserve">Function</w:t>
      </w:r>
      <w:r w:rsidDel="00000000" w:rsidR="00000000" w:rsidRPr="00000000">
        <w:rPr>
          <w:sz w:val="22"/>
          <w:szCs w:val="22"/>
          <w:rtl w:val="0"/>
        </w:rPr>
        <w:t xml:space="preserve">], [</w:t>
      </w:r>
      <w:r w:rsidDel="00000000" w:rsidR="00000000" w:rsidRPr="00000000">
        <w:rPr>
          <w:sz w:val="22"/>
          <w:szCs w:val="22"/>
          <w:highlight w:val="lightGray"/>
          <w:rtl w:val="0"/>
        </w:rPr>
        <w:t xml:space="preserve">Company name</w:t>
      </w:r>
      <w:r w:rsidDel="00000000" w:rsidR="00000000" w:rsidRPr="00000000">
        <w:rPr>
          <w:sz w:val="22"/>
          <w:szCs w:val="22"/>
          <w:rtl w:val="0"/>
        </w:rPr>
        <w:t xml:space="preserve">] </w:t>
      </w:r>
    </w:p>
    <w:p w:rsidR="00000000" w:rsidDel="00000000" w:rsidP="00000000" w:rsidRDefault="00000000" w:rsidRPr="00000000" w14:paraId="00000019">
      <w:pPr>
        <w:widowControl w:val="0"/>
        <w:spacing w:after="0" w:before="0" w:lineRule="auto"/>
        <w:ind w:left="720" w:firstLine="0"/>
        <w:jc w:val="left"/>
        <w:rPr>
          <w:sz w:val="22"/>
          <w:szCs w:val="22"/>
        </w:rPr>
      </w:pPr>
      <w:r w:rsidDel="00000000" w:rsidR="00000000" w:rsidRPr="00000000">
        <w:rPr>
          <w:sz w:val="22"/>
          <w:szCs w:val="22"/>
          <w:highlight w:val="lightGray"/>
          <w:rtl w:val="0"/>
        </w:rPr>
        <w:t xml:space="preserve">Address: Full official address</w:t>
      </w:r>
      <w:r w:rsidDel="00000000" w:rsidR="00000000" w:rsidRPr="00000000">
        <w:rPr>
          <w:sz w:val="22"/>
          <w:szCs w:val="22"/>
          <w:rtl w:val="0"/>
        </w:rPr>
        <w:t xml:space="preserve"> </w:t>
      </w:r>
    </w:p>
    <w:p w:rsidR="00000000" w:rsidDel="00000000" w:rsidP="00000000" w:rsidRDefault="00000000" w:rsidRPr="00000000" w14:paraId="0000001A">
      <w:pPr>
        <w:widowControl w:val="0"/>
        <w:spacing w:after="0" w:before="0" w:lineRule="auto"/>
        <w:ind w:left="720" w:firstLine="0"/>
        <w:jc w:val="left"/>
        <w:rPr>
          <w:sz w:val="22"/>
          <w:szCs w:val="22"/>
        </w:rPr>
      </w:pPr>
      <w:r w:rsidDel="00000000" w:rsidR="00000000" w:rsidRPr="00000000">
        <w:rPr>
          <w:sz w:val="22"/>
          <w:szCs w:val="22"/>
          <w:rtl w:val="0"/>
        </w:rPr>
        <w:t xml:space="preserve">Email: [</w:t>
      </w:r>
      <w:r w:rsidDel="00000000" w:rsidR="00000000" w:rsidRPr="00000000">
        <w:rPr>
          <w:sz w:val="22"/>
          <w:szCs w:val="22"/>
          <w:highlight w:val="lightGray"/>
          <w:rtl w:val="0"/>
        </w:rPr>
        <w:t xml:space="preserve">complete</w:t>
      </w:r>
      <w:r w:rsidDel="00000000" w:rsidR="00000000" w:rsidRPr="00000000">
        <w:rPr>
          <w:sz w:val="22"/>
          <w:szCs w:val="22"/>
          <w:rtl w:val="0"/>
        </w:rPr>
        <w:t xml:space="preserve">] </w:t>
      </w:r>
    </w:p>
    <w:p w:rsidR="00000000" w:rsidDel="00000000" w:rsidP="00000000" w:rsidRDefault="00000000" w:rsidRPr="00000000" w14:paraId="0000001B">
      <w:pPr>
        <w:widowControl w:val="0"/>
        <w:spacing w:after="0" w:before="0" w:lineRule="auto"/>
        <w:ind w:left="720" w:firstLine="0"/>
        <w:jc w:val="left"/>
        <w:rPr>
          <w:sz w:val="22"/>
          <w:szCs w:val="22"/>
        </w:rPr>
      </w:pPr>
      <w:r w:rsidDel="00000000" w:rsidR="00000000" w:rsidRPr="00000000">
        <w:rPr>
          <w:rtl w:val="0"/>
        </w:rPr>
      </w:r>
    </w:p>
    <w:p w:rsidR="00000000" w:rsidDel="00000000" w:rsidP="00000000" w:rsidRDefault="00000000" w:rsidRPr="00000000" w14:paraId="0000001C">
      <w:pPr>
        <w:spacing w:after="0" w:before="0" w:lineRule="auto"/>
        <w:ind w:left="1134" w:hanging="1134"/>
        <w:rPr>
          <w:b w:val="1"/>
          <w:bCs w:val="1"/>
        </w:rPr>
      </w:pPr>
      <w:r w:rsidDel="00000000" w:rsidR="00000000" w:rsidRPr="00000000">
        <w:rPr>
          <w:b w:val="1"/>
          <w:bCs w:val="1"/>
          <w:rtl w:val="0"/>
        </w:rPr>
        <w:t xml:space="preserve">Article 4</w:t>
        <w:tab/>
        <w:t xml:space="preserve">Subcontracting</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b w:val="1"/>
          <w:bCs w:val="1"/>
          <w:sz w:val="22"/>
          <w:szCs w:val="22"/>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4.9</w:t>
        <w:tab/>
      </w:r>
      <w:r w:rsidDel="00000000" w:rsidR="00000000" w:rsidRPr="00000000">
        <w:rPr>
          <w:sz w:val="22"/>
          <w:szCs w:val="22"/>
          <w:rtl w:val="0"/>
        </w:rPr>
        <w:t xml:space="preserve">Subcontracting must be carried out in a manner that takes into account the risks highlighted in Instruction to Tenderers, </w:t>
      </w:r>
      <w:r w:rsidDel="00000000" w:rsidR="00000000" w:rsidRPr="00000000">
        <w:rPr>
          <w:b w:val="1"/>
          <w:bCs w:val="1"/>
          <w:sz w:val="22"/>
          <w:szCs w:val="22"/>
          <w:rtl w:val="0"/>
        </w:rPr>
        <w:t xml:space="preserve">Article 3,  paragraph g.</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sz w:val="22"/>
          <w:szCs w:val="22"/>
          <w:highlight w:val="lightGray"/>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567" w:right="0" w:hanging="567"/>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Article 7</w:t>
        <w:tab/>
        <w:t xml:space="preserve">General obligations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7.8</w:t>
        <w:tab/>
      </w:r>
      <w:r w:rsidDel="00000000" w:rsidR="00000000" w:rsidRPr="00000000">
        <w:rPr>
          <w:sz w:val="22"/>
          <w:szCs w:val="22"/>
          <w:rtl w:val="0"/>
        </w:rPr>
        <w:t xml:space="preserve">The Contractor shall ensure that all communication and visibility activities under this contract fully comply with the EU Communication and Visibility Requirements for EU-funded External Actions and with the specific visibility and branding rules of the </w:t>
      </w:r>
      <w:r w:rsidDel="00000000" w:rsidR="00000000" w:rsidRPr="00000000">
        <w:rPr>
          <w:b w:val="1"/>
          <w:bCs w:val="1"/>
          <w:sz w:val="22"/>
          <w:szCs w:val="22"/>
          <w:rtl w:val="0"/>
        </w:rPr>
        <w:t xml:space="preserve">Interreg IPA South Adriatic Programme.</w:t>
      </w:r>
      <w:r w:rsidDel="00000000" w:rsidR="00000000" w:rsidRPr="00000000">
        <w:rPr>
          <w:sz w:val="22"/>
          <w:szCs w:val="22"/>
          <w:rtl w:val="0"/>
        </w:rPr>
        <w:t xml:space="preserve"> All materials and outputs (digital, printed and event-related) must clearly display the required EU and Programme logos and statements, follow the programme visual identity, and be submitted to the Contracting Authority for prior approval. The Contractor shall implement all minimum visibility obligations and any additional communication actions requested by the Contracting Authority or the Programme authorities, ensuring full quality control and compliance throughout the contract implementation.</w:t>
      </w:r>
      <w:r w:rsidDel="00000000" w:rsidR="00000000" w:rsidRPr="00000000">
        <w:rPr>
          <w:rtl w:val="0"/>
        </w:rPr>
      </w:r>
    </w:p>
    <w:p w:rsidR="00000000" w:rsidDel="00000000" w:rsidP="00000000" w:rsidRDefault="00000000" w:rsidRPr="00000000" w14:paraId="00000021">
      <w:pPr>
        <w:tabs>
          <w:tab w:val="left" w:leader="none" w:pos="1134"/>
        </w:tabs>
        <w:spacing w:after="0" w:before="0" w:lineRule="auto"/>
        <w:ind w:left="1134" w:hanging="1134"/>
        <w:rPr>
          <w:b w:val="1"/>
          <w:bCs w:val="1"/>
        </w:rPr>
      </w:pPr>
      <w:r w:rsidDel="00000000" w:rsidR="00000000" w:rsidRPr="00000000">
        <w:rPr>
          <w:b w:val="1"/>
          <w:bCs w:val="1"/>
          <w:rtl w:val="0"/>
        </w:rPr>
        <w:t xml:space="preserve">Article 12 - Liabilities</w:t>
      </w:r>
    </w:p>
    <w:p w:rsidR="00000000" w:rsidDel="00000000" w:rsidP="00000000" w:rsidRDefault="00000000" w:rsidRPr="00000000" w14:paraId="00000022">
      <w:pPr>
        <w:tabs>
          <w:tab w:val="left" w:leader="none" w:pos="567"/>
        </w:tabs>
        <w:spacing w:after="0" w:before="0" w:lineRule="auto"/>
        <w:ind w:left="567" w:hanging="567"/>
        <w:rPr/>
      </w:pPr>
      <w:r w:rsidDel="00000000" w:rsidR="00000000" w:rsidRPr="00000000">
        <w:rPr>
          <w:sz w:val="22"/>
          <w:szCs w:val="22"/>
          <w:rtl w:val="0"/>
        </w:rPr>
        <w:t xml:space="preserve">12.2 </w:t>
        <w:tab/>
      </w:r>
      <w:r w:rsidDel="00000000" w:rsidR="00000000" w:rsidRPr="00000000">
        <w:rPr>
          <w:sz w:val="22"/>
          <w:szCs w:val="22"/>
          <w:rtl w:val="0"/>
        </w:rPr>
        <w:t xml:space="preserve">‘</w:t>
      </w:r>
      <w:r w:rsidDel="00000000" w:rsidR="00000000" w:rsidRPr="00000000">
        <w:rPr>
          <w:sz w:val="22"/>
          <w:szCs w:val="22"/>
          <w:rtl w:val="0"/>
        </w:rPr>
        <w:t xml:space="preserve">By way of derogation from Article 12.2, paragraph 2, of the general conditions, compensation for damage resulting from the contractor's liability in respect of the contracting authority is capped at an amount equal to </w:t>
      </w:r>
      <w:r w:rsidDel="00000000" w:rsidR="00000000" w:rsidRPr="00000000">
        <w:rPr>
          <w:sz w:val="22"/>
          <w:szCs w:val="22"/>
          <w:rtl w:val="0"/>
        </w:rPr>
        <w:t xml:space="preserve">the contract value.</w:t>
      </w:r>
      <w:r w:rsidDel="00000000" w:rsidR="00000000" w:rsidRPr="00000000">
        <w:rPr>
          <w:rtl w:val="0"/>
        </w:rPr>
      </w:r>
    </w:p>
    <w:p w:rsidR="00000000" w:rsidDel="00000000" w:rsidP="00000000" w:rsidRDefault="00000000" w:rsidRPr="00000000" w14:paraId="00000023">
      <w:pPr>
        <w:keepNext w:val="1"/>
        <w:keepLines w:val="1"/>
        <w:tabs>
          <w:tab w:val="left" w:leader="none" w:pos="1134"/>
        </w:tabs>
        <w:spacing w:after="0" w:before="0" w:lineRule="auto"/>
        <w:ind w:left="1134" w:hanging="1134"/>
        <w:rPr>
          <w:b w:val="1"/>
          <w:bCs w:val="1"/>
        </w:rPr>
      </w:pPr>
      <w:r w:rsidDel="00000000" w:rsidR="00000000" w:rsidRPr="00000000">
        <w:rPr>
          <w:b w:val="1"/>
          <w:bCs w:val="1"/>
          <w:rtl w:val="0"/>
        </w:rPr>
        <w:t xml:space="preserve">Article 26</w:t>
        <w:tab/>
        <w:t xml:space="preserve">Interim and final reports</w:t>
      </w:r>
    </w:p>
    <w:p w:rsidR="00000000" w:rsidDel="00000000" w:rsidP="00000000" w:rsidRDefault="00000000" w:rsidRPr="00000000" w14:paraId="00000024">
      <w:pPr>
        <w:spacing w:after="0" w:before="0" w:lineRule="auto"/>
        <w:ind w:left="567" w:firstLine="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The contractor shall submit progress reports as specified in the terms of reference.</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34"/>
        </w:tabs>
        <w:spacing w:after="0" w:before="0" w:line="240" w:lineRule="auto"/>
        <w:ind w:left="709" w:right="0" w:hanging="709"/>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28</w:t>
        <w:tab/>
        <w:t xml:space="preserve">Expenditure verification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28.2</w:t>
        <w:tab/>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vertAlign w:val="baseline"/>
          <w:rtl w:val="0"/>
        </w:rPr>
        <w:t xml:space="preserve">By derogation from article 28 the verification will be made by the contracting authority and all references to an expenditure verification report will not be applicable.</w:t>
      </w:r>
      <w:r w:rsidDel="00000000" w:rsidR="00000000" w:rsidRPr="00000000">
        <w:rPr>
          <w:rtl w:val="0"/>
        </w:rPr>
      </w:r>
    </w:p>
    <w:p w:rsidR="00000000" w:rsidDel="00000000" w:rsidP="00000000" w:rsidRDefault="00000000" w:rsidRPr="00000000" w14:paraId="00000027">
      <w:pPr>
        <w:keepNext w:val="1"/>
        <w:keepLines w:val="1"/>
        <w:tabs>
          <w:tab w:val="left" w:leader="none" w:pos="1134"/>
        </w:tabs>
        <w:spacing w:after="0" w:before="0" w:lineRule="auto"/>
        <w:ind w:left="1134" w:hanging="1134"/>
        <w:rPr>
          <w:b w:val="1"/>
          <w:bCs w:val="1"/>
        </w:rPr>
      </w:pPr>
      <w:r w:rsidDel="00000000" w:rsidR="00000000" w:rsidRPr="00000000">
        <w:rPr>
          <w:b w:val="1"/>
          <w:bCs w:val="1"/>
          <w:rtl w:val="0"/>
        </w:rPr>
        <w:t xml:space="preserve">Article 29</w:t>
        <w:tab/>
        <w:t xml:space="preserve">Payment and interest on late payment</w:t>
      </w:r>
    </w:p>
    <w:p w:rsidR="00000000" w:rsidDel="00000000" w:rsidP="00000000" w:rsidRDefault="00000000" w:rsidRPr="00000000" w14:paraId="00000028">
      <w:pPr>
        <w:keepNext w:val="1"/>
        <w:keepLines w:val="1"/>
        <w:spacing w:after="0" w:before="0" w:lineRule="auto"/>
        <w:ind w:left="567" w:hanging="567"/>
        <w:rPr>
          <w:sz w:val="22"/>
          <w:szCs w:val="22"/>
        </w:rPr>
      </w:pPr>
      <w:r w:rsidDel="00000000" w:rsidR="00000000" w:rsidRPr="00000000">
        <w:rPr>
          <w:sz w:val="22"/>
          <w:szCs w:val="22"/>
          <w:rtl w:val="0"/>
        </w:rPr>
        <w:t xml:space="preserve">29.1</w:t>
        <w:tab/>
        <w:t xml:space="preserve">Payments shall be made successively, based on issued invoices for provided services.</w:t>
      </w:r>
    </w:p>
    <w:p w:rsidR="00000000" w:rsidDel="00000000" w:rsidP="00000000" w:rsidRDefault="00000000" w:rsidRPr="00000000" w14:paraId="00000029">
      <w:pPr>
        <w:spacing w:after="0" w:before="0" w:lineRule="auto"/>
        <w:ind w:left="567" w:hanging="567"/>
        <w:rPr>
          <w:sz w:val="22"/>
          <w:szCs w:val="22"/>
        </w:rPr>
      </w:pPr>
      <w:r w:rsidDel="00000000" w:rsidR="00000000" w:rsidRPr="00000000">
        <w:rPr>
          <w:sz w:val="22"/>
          <w:szCs w:val="22"/>
          <w:rtl w:val="0"/>
        </w:rPr>
        <w:t xml:space="preserve">29.3  By derogation from Article 29.3 of the general conditions, once the deadline set in Article 29.1 has expired, the contractor shall, upon demand,</w:t>
      </w:r>
      <w:r w:rsidDel="00000000" w:rsidR="00000000" w:rsidRPr="00000000">
        <w:rPr>
          <w:rtl w:val="0"/>
        </w:rPr>
        <w:t xml:space="preserve"> </w:t>
      </w:r>
      <w:r w:rsidDel="00000000" w:rsidR="00000000" w:rsidRPr="00000000">
        <w:rPr>
          <w:sz w:val="22"/>
          <w:szCs w:val="22"/>
          <w:rtl w:val="0"/>
        </w:rPr>
        <w:t xml:space="preserve">be entitled to late-payment interest at the rate and for the period mentioned in the general conditions. The demand must be submitted within two months of receiving late payment.</w:t>
      </w:r>
    </w:p>
    <w:p w:rsidR="00000000" w:rsidDel="00000000" w:rsidP="00000000" w:rsidRDefault="00000000" w:rsidRPr="00000000" w14:paraId="0000002A">
      <w:pPr>
        <w:spacing w:after="0" w:before="0" w:lineRule="auto"/>
        <w:ind w:left="567" w:hanging="567"/>
        <w:rPr>
          <w:sz w:val="22"/>
          <w:szCs w:val="22"/>
        </w:rPr>
      </w:pPr>
      <w:r w:rsidDel="00000000" w:rsidR="00000000" w:rsidRPr="00000000">
        <w:rPr>
          <w:sz w:val="22"/>
          <w:szCs w:val="22"/>
          <w:rtl w:val="0"/>
        </w:rPr>
        <w:t xml:space="preserve">29.5</w:t>
        <w:tab/>
        <w:t xml:space="preserve">Payments shall be made in </w:t>
      </w:r>
      <w:r w:rsidDel="00000000" w:rsidR="00000000" w:rsidRPr="00000000">
        <w:rPr>
          <w:sz w:val="22"/>
          <w:szCs w:val="22"/>
          <w:highlight w:val="lightGray"/>
          <w:rtl w:val="0"/>
        </w:rPr>
        <w:t xml:space="preserve">EUR </w:t>
      </w:r>
      <w:r w:rsidDel="00000000" w:rsidR="00000000" w:rsidRPr="00000000">
        <w:rPr>
          <w:sz w:val="22"/>
          <w:szCs w:val="22"/>
          <w:rtl w:val="0"/>
        </w:rPr>
        <w:t xml:space="preserve">in accordance with Article 29.4 of the general conditions.</w:t>
      </w:r>
      <w:r w:rsidDel="00000000" w:rsidR="00000000" w:rsidRPr="00000000">
        <w:rPr>
          <w:rtl w:val="0"/>
        </w:rPr>
      </w:r>
    </w:p>
    <w:p w:rsidR="00000000" w:rsidDel="00000000" w:rsidP="00000000" w:rsidRDefault="00000000" w:rsidRPr="00000000" w14:paraId="0000002B">
      <w:pPr>
        <w:keepNext w:val="1"/>
        <w:keepLines w:val="1"/>
        <w:tabs>
          <w:tab w:val="left" w:leader="none" w:pos="1134"/>
        </w:tabs>
        <w:spacing w:after="0" w:before="0" w:lineRule="auto"/>
        <w:ind w:left="1134" w:hanging="1134"/>
        <w:rPr>
          <w:b w:val="1"/>
          <w:bCs w:val="1"/>
        </w:rPr>
      </w:pPr>
      <w:bookmarkStart w:colFirst="0" w:colLast="0" w:name="_tawbzrxf3a6d" w:id="1"/>
      <w:bookmarkEnd w:id="1"/>
      <w:r w:rsidDel="00000000" w:rsidR="00000000" w:rsidRPr="00000000">
        <w:rPr>
          <w:b w:val="1"/>
          <w:bCs w:val="1"/>
          <w:rtl w:val="0"/>
        </w:rPr>
        <w:t xml:space="preserve">Article 30</w:t>
        <w:tab/>
        <w:t xml:space="preserve">Financial guarantee</w:t>
      </w:r>
    </w:p>
    <w:p w:rsidR="00000000" w:rsidDel="00000000" w:rsidP="00000000" w:rsidRDefault="00000000" w:rsidRPr="00000000" w14:paraId="0000002C">
      <w:pPr>
        <w:spacing w:after="0" w:before="0" w:lineRule="auto"/>
        <w:ind w:left="567" w:hanging="567"/>
        <w:rPr>
          <w:sz w:val="22"/>
          <w:szCs w:val="22"/>
        </w:rPr>
      </w:pPr>
      <w:r w:rsidDel="00000000" w:rsidR="00000000" w:rsidRPr="00000000">
        <w:rPr>
          <w:sz w:val="22"/>
          <w:szCs w:val="22"/>
          <w:rtl w:val="0"/>
        </w:rPr>
        <w:t xml:space="preserve">30.1</w:t>
        <w:tab/>
      </w:r>
      <w:r w:rsidDel="00000000" w:rsidR="00000000" w:rsidRPr="00000000">
        <w:rPr>
          <w:sz w:val="22"/>
          <w:szCs w:val="22"/>
          <w:rtl w:val="0"/>
        </w:rPr>
        <w:t xml:space="preserve">By derogation from article 30 of the general conditions, no pre-financing guarantee is required.</w:t>
      </w:r>
      <w:r w:rsidDel="00000000" w:rsidR="00000000" w:rsidRPr="00000000">
        <w:rPr>
          <w:rtl w:val="0"/>
        </w:rPr>
      </w:r>
    </w:p>
    <w:p w:rsidR="00000000" w:rsidDel="00000000" w:rsidP="00000000" w:rsidRDefault="00000000" w:rsidRPr="00000000" w14:paraId="0000002D">
      <w:pPr>
        <w:keepNext w:val="1"/>
        <w:keepLines w:val="1"/>
        <w:tabs>
          <w:tab w:val="left" w:leader="none" w:pos="1134"/>
        </w:tabs>
        <w:spacing w:after="0" w:before="0" w:lineRule="auto"/>
        <w:ind w:left="1134" w:hanging="1134"/>
        <w:rPr>
          <w:b w:val="1"/>
          <w:bCs w:val="1"/>
        </w:rPr>
      </w:pPr>
      <w:r w:rsidDel="00000000" w:rsidR="00000000" w:rsidRPr="00000000">
        <w:rPr>
          <w:b w:val="1"/>
          <w:bCs w:val="1"/>
          <w:rtl w:val="0"/>
        </w:rPr>
        <w:t xml:space="preserve">Article 31</w:t>
        <w:tab/>
        <w:t xml:space="preserve">Recovery of debts from the contractor</w:t>
      </w:r>
    </w:p>
    <w:p w:rsidR="00000000" w:rsidDel="00000000" w:rsidP="00000000" w:rsidRDefault="00000000" w:rsidRPr="00000000" w14:paraId="0000002E">
      <w:pPr>
        <w:spacing w:after="0" w:before="0" w:lineRule="auto"/>
        <w:ind w:left="567" w:hanging="567"/>
        <w:rPr>
          <w:sz w:val="22"/>
          <w:szCs w:val="22"/>
        </w:rPr>
      </w:pPr>
      <w:r w:rsidDel="00000000" w:rsidR="00000000" w:rsidRPr="00000000">
        <w:rPr>
          <w:sz w:val="22"/>
          <w:szCs w:val="22"/>
          <w:rtl w:val="0"/>
        </w:rPr>
        <w:t xml:space="preserve">31.3</w:t>
        <w:tab/>
        <w:t xml:space="preserve">Any payment may be offset against outstanding debts of any consortium member</w:t>
      </w:r>
    </w:p>
    <w:p w:rsidR="00000000" w:rsidDel="00000000" w:rsidP="00000000" w:rsidRDefault="00000000" w:rsidRPr="00000000" w14:paraId="0000002F">
      <w:pPr>
        <w:keepNext w:val="1"/>
        <w:keepLines w:val="1"/>
        <w:tabs>
          <w:tab w:val="left" w:leader="none" w:pos="1134"/>
          <w:tab w:val="left" w:leader="none" w:pos="6495"/>
        </w:tabs>
        <w:spacing w:after="0" w:before="0" w:lineRule="auto"/>
        <w:ind w:left="1134" w:hanging="1134"/>
        <w:rPr>
          <w:sz w:val="22"/>
          <w:szCs w:val="22"/>
        </w:rPr>
      </w:pPr>
      <w:r w:rsidDel="00000000" w:rsidR="00000000" w:rsidRPr="00000000">
        <w:rPr>
          <w:b w:val="1"/>
          <w:bCs w:val="1"/>
          <w:rtl w:val="0"/>
        </w:rPr>
        <w:t xml:space="preserve">Article 40</w:t>
        <w:tab/>
        <w:t xml:space="preserve">Settlement of disputes</w:t>
      </w:r>
      <w:r w:rsidDel="00000000" w:rsidR="00000000" w:rsidRPr="00000000">
        <w:rPr>
          <w:rtl w:val="0"/>
        </w:rPr>
      </w:r>
    </w:p>
    <w:p w:rsidR="00000000" w:rsidDel="00000000" w:rsidP="00000000" w:rsidRDefault="00000000" w:rsidRPr="00000000" w14:paraId="00000030">
      <w:pPr>
        <w:spacing w:after="0" w:before="0" w:lineRule="auto"/>
        <w:ind w:left="720" w:firstLine="0"/>
        <w:rPr>
          <w:sz w:val="22"/>
          <w:szCs w:val="22"/>
        </w:rPr>
      </w:pPr>
      <w:r w:rsidDel="00000000" w:rsidR="00000000" w:rsidRPr="00000000">
        <w:rPr>
          <w:sz w:val="22"/>
          <w:szCs w:val="22"/>
          <w:rtl w:val="0"/>
        </w:rPr>
        <w:t xml:space="preserve">Any dispute arising out of or relating to this contract which cannot be settled otherwise shall be referred to the exclusive jurisdiction of the courts of Montenegro</w:t>
      </w:r>
      <w:r w:rsidDel="00000000" w:rsidR="00000000" w:rsidRPr="00000000">
        <w:rPr>
          <w:sz w:val="22"/>
          <w:szCs w:val="22"/>
          <w:rtl w:val="0"/>
        </w:rPr>
        <w:t xml:space="preserve"> </w:t>
      </w:r>
      <w:r w:rsidDel="00000000" w:rsidR="00000000" w:rsidRPr="00000000">
        <w:rPr>
          <w:sz w:val="22"/>
          <w:szCs w:val="22"/>
          <w:rtl w:val="0"/>
        </w:rPr>
        <w:t xml:space="preserve">in accordance with its national legislation.</w:t>
      </w:r>
    </w:p>
    <w:p w:rsidR="00000000" w:rsidDel="00000000" w:rsidP="00000000" w:rsidRDefault="00000000" w:rsidRPr="00000000" w14:paraId="00000031">
      <w:pPr>
        <w:spacing w:after="0" w:before="0" w:lineRule="auto"/>
        <w:ind w:left="1134"/>
        <w:rPr>
          <w:sz w:val="22"/>
          <w:szCs w:val="22"/>
        </w:rPr>
      </w:pPr>
      <w:bookmarkStart w:colFirst="0" w:colLast="0" w:name="_u7t11b6acbd6" w:id="2"/>
      <w:bookmarkEnd w:id="2"/>
      <w:r w:rsidDel="00000000" w:rsidR="00000000" w:rsidRPr="00000000">
        <w:rPr>
          <w:b w:val="1"/>
          <w:bCs w:val="1"/>
          <w:rtl w:val="0"/>
        </w:rPr>
        <w:t xml:space="preserve">Article 45</w:t>
        <w:tab/>
        <w:t xml:space="preserve">Further additional clauses (Suspensive Clause)</w:t>
      </w:r>
      <w:r w:rsidDel="00000000" w:rsidR="00000000" w:rsidRPr="00000000">
        <w:rPr>
          <w:rtl w:val="0"/>
        </w:rPr>
      </w:r>
    </w:p>
    <w:p w:rsidR="00000000" w:rsidDel="00000000" w:rsidP="00000000" w:rsidRDefault="00000000" w:rsidRPr="00000000" w14:paraId="00000032">
      <w:pPr>
        <w:spacing w:after="120" w:lineRule="auto"/>
        <w:ind w:left="1134" w:hanging="708"/>
        <w:rPr>
          <w:sz w:val="22"/>
          <w:szCs w:val="22"/>
        </w:rPr>
      </w:pPr>
      <w:r w:rsidDel="00000000" w:rsidR="00000000" w:rsidRPr="00000000">
        <w:rPr>
          <w:sz w:val="22"/>
          <w:szCs w:val="22"/>
          <w:rtl w:val="0"/>
        </w:rPr>
        <w:t xml:space="preserve">45.1</w:t>
        <w:tab/>
        <w:t xml:space="preserve">This contract is concluded under a suspensive clause. The entry into force and the commencement of all legal and financial effects of this contract are strictly conditional upon the finalisation and formal registration of the following agreements under the Interreg IPA CBC South Adriatic Programme ( for LASPEH 2.0 project):</w:t>
      </w:r>
    </w:p>
    <w:p w:rsidR="00000000" w:rsidDel="00000000" w:rsidP="00000000" w:rsidRDefault="00000000" w:rsidRPr="00000000" w14:paraId="00000033">
      <w:pPr>
        <w:spacing w:after="120" w:lineRule="auto"/>
        <w:ind w:left="1854" w:hanging="708"/>
        <w:rPr>
          <w:i w:val="1"/>
          <w:iCs w:val="1"/>
          <w:sz w:val="22"/>
          <w:szCs w:val="22"/>
        </w:rPr>
      </w:pPr>
      <w:r w:rsidDel="00000000" w:rsidR="00000000" w:rsidRPr="00000000">
        <w:rPr>
          <w:i w:val="1"/>
          <w:iCs w:val="1"/>
          <w:sz w:val="22"/>
          <w:szCs w:val="22"/>
          <w:rtl w:val="0"/>
        </w:rPr>
        <w:t xml:space="preserve">a) the Financing Agreement between the Managing Authority (Regione Puglia) and the European Commission;</w:t>
      </w:r>
    </w:p>
    <w:p w:rsidR="00000000" w:rsidDel="00000000" w:rsidP="00000000" w:rsidRDefault="00000000" w:rsidRPr="00000000" w14:paraId="00000034">
      <w:pPr>
        <w:spacing w:after="120" w:lineRule="auto"/>
        <w:ind w:left="1854" w:hanging="708"/>
        <w:rPr>
          <w:i w:val="1"/>
          <w:iCs w:val="1"/>
          <w:sz w:val="22"/>
          <w:szCs w:val="22"/>
        </w:rPr>
      </w:pPr>
      <w:r w:rsidDel="00000000" w:rsidR="00000000" w:rsidRPr="00000000">
        <w:rPr>
          <w:i w:val="1"/>
          <w:iCs w:val="1"/>
          <w:sz w:val="22"/>
          <w:szCs w:val="22"/>
          <w:rtl w:val="0"/>
        </w:rPr>
        <w:t xml:space="preserve">b) the Subsidy Contract (</w:t>
      </w:r>
      <w:r w:rsidDel="00000000" w:rsidR="00000000" w:rsidRPr="00000000">
        <w:rPr>
          <w:i w:val="1"/>
          <w:iCs w:val="1"/>
          <w:sz w:val="22"/>
          <w:szCs w:val="22"/>
          <w:u w:val="single"/>
          <w:rtl w:val="0"/>
        </w:rPr>
        <w:t xml:space="preserve">SA-0300275</w:t>
      </w:r>
      <w:r w:rsidDel="00000000" w:rsidR="00000000" w:rsidRPr="00000000">
        <w:rPr>
          <w:i w:val="1"/>
          <w:iCs w:val="1"/>
          <w:sz w:val="22"/>
          <w:szCs w:val="22"/>
          <w:rtl w:val="0"/>
        </w:rPr>
        <w:t xml:space="preserve">) between the Managing Authority (Regione Puglia) and the Lead Partner of LASPEH 2.0 project.</w:t>
      </w:r>
    </w:p>
    <w:p w:rsidR="00000000" w:rsidDel="00000000" w:rsidP="00000000" w:rsidRDefault="00000000" w:rsidRPr="00000000" w14:paraId="00000035">
      <w:pPr>
        <w:spacing w:after="120" w:lineRule="auto"/>
        <w:ind w:left="1134" w:hanging="708"/>
        <w:rPr>
          <w:sz w:val="22"/>
          <w:szCs w:val="22"/>
        </w:rPr>
      </w:pPr>
      <w:r w:rsidDel="00000000" w:rsidR="00000000" w:rsidRPr="00000000">
        <w:rPr>
          <w:sz w:val="22"/>
          <w:szCs w:val="22"/>
          <w:rtl w:val="0"/>
        </w:rPr>
        <w:t xml:space="preserve">45.2</w:t>
        <w:tab/>
        <w:t xml:space="preserve">The Partnership Agreement for the LASPEH 2.0 project has been signed. The registration process of the Financing Agreement and the Subsidy Contract SA-0300275 is ongoing and is expected to be completed within the timeframe of this procurement procedure.</w:t>
      </w:r>
    </w:p>
    <w:p w:rsidR="00000000" w:rsidDel="00000000" w:rsidP="00000000" w:rsidRDefault="00000000" w:rsidRPr="00000000" w14:paraId="00000036">
      <w:pPr>
        <w:spacing w:after="120" w:lineRule="auto"/>
        <w:ind w:left="1134" w:hanging="708"/>
        <w:rPr>
          <w:sz w:val="22"/>
          <w:szCs w:val="22"/>
        </w:rPr>
      </w:pPr>
      <w:r w:rsidDel="00000000" w:rsidR="00000000" w:rsidRPr="00000000">
        <w:rPr>
          <w:sz w:val="22"/>
          <w:szCs w:val="22"/>
          <w:rtl w:val="0"/>
        </w:rPr>
        <w:t xml:space="preserve">45.3</w:t>
        <w:tab/>
        <w:t xml:space="preserve">This suspensive clause does not alter or modify any element of the procurement procedure, nor does it affect the validity of the evaluation process carried out by the Contracting Authority.</w:t>
      </w:r>
    </w:p>
    <w:p w:rsidR="00000000" w:rsidDel="00000000" w:rsidP="00000000" w:rsidRDefault="00000000" w:rsidRPr="00000000" w14:paraId="00000037">
      <w:pPr>
        <w:spacing w:after="120" w:lineRule="auto"/>
        <w:ind w:left="1134" w:hanging="708"/>
        <w:rPr>
          <w:sz w:val="22"/>
          <w:szCs w:val="22"/>
          <w:highlight w:val="yellow"/>
        </w:rPr>
      </w:pPr>
      <w:r w:rsidDel="00000000" w:rsidR="00000000" w:rsidRPr="00000000">
        <w:rPr>
          <w:sz w:val="22"/>
          <w:szCs w:val="22"/>
          <w:rtl w:val="0"/>
        </w:rPr>
        <w:t xml:space="preserve">45.4</w:t>
        <w:tab/>
        <w:t xml:space="preserve">Should the suspensive condition not be fulfilled, the Contracting Authority shall abandon the procurement or cancel the award procedure. In such a case, the tenderers shall not be entitled to claim any compensation, reimbursement, or damages of any kind.</w:t>
      </w:r>
      <w:r w:rsidDel="00000000" w:rsidR="00000000" w:rsidRPr="00000000">
        <w:rPr>
          <w:rtl w:val="0"/>
        </w:rPr>
      </w:r>
    </w:p>
    <w:p w:rsidR="00000000" w:rsidDel="00000000" w:rsidP="00000000" w:rsidRDefault="00000000" w:rsidRPr="00000000" w14:paraId="00000038">
      <w:pPr>
        <w:spacing w:after="0" w:before="0" w:lineRule="auto"/>
        <w:ind w:left="720" w:firstLine="0"/>
        <w:rPr>
          <w:sz w:val="22"/>
          <w:szCs w:val="22"/>
        </w:rPr>
      </w:pPr>
      <w:r w:rsidDel="00000000" w:rsidR="00000000" w:rsidRPr="00000000">
        <w:rPr>
          <w:rtl w:val="0"/>
        </w:rPr>
      </w:r>
    </w:p>
    <w:p w:rsidR="00000000" w:rsidDel="00000000" w:rsidP="00000000" w:rsidRDefault="00000000" w:rsidRPr="00000000" w14:paraId="00000039">
      <w:pPr>
        <w:spacing w:after="0" w:before="0" w:lineRule="auto"/>
        <w:ind w:left="1418" w:hanging="1418"/>
        <w:jc w:val="center"/>
        <w:rPr>
          <w:sz w:val="22"/>
          <w:szCs w:val="22"/>
        </w:rPr>
      </w:pPr>
      <w:r w:rsidDel="00000000" w:rsidR="00000000" w:rsidRPr="00000000">
        <w:rPr>
          <w:sz w:val="22"/>
          <w:szCs w:val="22"/>
          <w:rtl w:val="0"/>
        </w:rPr>
        <w:t xml:space="preserve">* * *</w:t>
      </w:r>
    </w:p>
    <w:sectPr>
      <w:footerReference r:id="rId6" w:type="default"/>
      <w:footerReference r:id="rId7" w:type="first"/>
      <w:pgSz w:h="16834" w:w="11913" w:orient="portrait"/>
      <w:pgMar w:bottom="1276" w:top="1134" w:left="1134" w:right="1418" w:header="720" w:footer="5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120" w:line="240" w:lineRule="auto"/>
      <w:ind w:left="0" w:right="-567" w:firstLine="0"/>
      <w:jc w:val="left"/>
      <w:rPr>
        <w:rFonts w:ascii="Times New Roman" w:cs="Times New Roman" w:eastAsia="Times New Roman" w:hAnsi="Times New Roman"/>
        <w:b w:val="1"/>
        <w:bCs w:val="1"/>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2025</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b8c2_specialconditions_en.docx</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2024</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505"/>
      </w:tabs>
      <w:spacing w:after="0" w:before="0" w:line="240" w:lineRule="auto"/>
      <w:ind w:left="0" w:right="-567"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b8c_contract_en.doc</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87" w:hanging="360.0000000000001"/>
      </w:pPr>
      <w:rPr>
        <w:rFonts w:ascii="Noto Sans Symbols" w:cs="Noto Sans Symbols" w:eastAsia="Noto Sans Symbols" w:hAnsi="Noto Sans Symbols"/>
      </w:rPr>
    </w:lvl>
    <w:lvl w:ilvl="1">
      <w:start w:val="0"/>
      <w:numFmt w:val="bullet"/>
      <w:lvlText w:val="-"/>
      <w:lvlJc w:val="left"/>
      <w:pPr>
        <w:ind w:left="2007" w:hanging="360"/>
      </w:pPr>
      <w:rPr>
        <w:rFonts w:ascii="Times New Roman" w:cs="Times New Roman" w:eastAsia="Times New Roman" w:hAnsi="Times New Roman"/>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before="240" w:lineRule="auto"/>
      <w:ind w:left="482" w:hanging="482"/>
    </w:pPr>
    <w:rPr>
      <w:b w:val="1"/>
      <w:bCs w:val="1"/>
      <w:smallCaps w:val="1"/>
    </w:rPr>
  </w:style>
  <w:style w:type="paragraph" w:styleId="Heading2">
    <w:name w:val="heading 2"/>
    <w:basedOn w:val="Normal"/>
    <w:next w:val="Normal"/>
    <w:pPr>
      <w:keepNext w:val="1"/>
      <w:ind w:left="1202" w:hanging="720"/>
    </w:pPr>
    <w:rPr>
      <w:b w:val="1"/>
      <w:bCs w:val="1"/>
    </w:rPr>
  </w:style>
  <w:style w:type="paragraph" w:styleId="Heading3">
    <w:name w:val="heading 3"/>
    <w:basedOn w:val="Normal"/>
    <w:next w:val="Normal"/>
    <w:pPr>
      <w:keepNext w:val="1"/>
      <w:ind w:left="1984" w:hanging="782"/>
    </w:pPr>
    <w:rPr>
      <w:i w:val="1"/>
      <w:iCs w:val="1"/>
    </w:rPr>
  </w:style>
  <w:style w:type="paragraph" w:styleId="Heading4">
    <w:name w:val="heading 4"/>
    <w:basedOn w:val="Normal"/>
    <w:next w:val="Normal"/>
    <w:pPr>
      <w:keepNext w:val="1"/>
      <w:ind w:left="1984" w:hanging="782"/>
    </w:pPr>
    <w:rPr/>
  </w:style>
  <w:style w:type="paragraph" w:styleId="Heading5">
    <w:name w:val="heading 5"/>
    <w:basedOn w:val="Normal"/>
    <w:next w:val="Normal"/>
    <w:pPr>
      <w:spacing w:after="60" w:before="240" w:lineRule="auto"/>
    </w:pPr>
    <w:rPr>
      <w:rFonts w:ascii="Arial" w:cs="Arial" w:eastAsia="Arial" w:hAnsi="Arial"/>
      <w:sz w:val="22"/>
      <w:szCs w:val="22"/>
    </w:rPr>
  </w:style>
  <w:style w:type="paragraph" w:styleId="Heading6">
    <w:name w:val="heading 6"/>
    <w:basedOn w:val="Normal"/>
    <w:next w:val="Normal"/>
    <w:pPr>
      <w:spacing w:after="60" w:before="240" w:lineRule="auto"/>
    </w:pPr>
    <w:rPr>
      <w:rFonts w:ascii="Arial" w:cs="Arial" w:eastAsia="Arial" w:hAnsi="Arial"/>
      <w:i w:val="1"/>
      <w:iCs w:val="1"/>
      <w:sz w:val="22"/>
      <w:szCs w:val="22"/>
    </w:rPr>
  </w:style>
  <w:style w:type="paragraph" w:styleId="Title">
    <w:name w:val="Title"/>
    <w:basedOn w:val="Normal"/>
    <w:next w:val="Normal"/>
    <w:pPr>
      <w:spacing w:after="480" w:lineRule="auto"/>
      <w:jc w:val="center"/>
    </w:pPr>
    <w:rPr>
      <w:b w:val="1"/>
      <w:bCs w:val="1"/>
      <w:sz w:val="48"/>
      <w:szCs w:val="48"/>
    </w:rPr>
  </w:style>
  <w:style w:type="paragraph" w:styleId="Subtitle">
    <w:name w:val="Subtitle"/>
    <w:basedOn w:val="Normal"/>
    <w:next w:val="Normal"/>
    <w:pPr>
      <w:spacing w:after="60" w:lineRule="auto"/>
      <w:jc w:val="center"/>
    </w:pPr>
    <w:rPr>
      <w:rFonts w:ascii="Arial" w:cs="Arial" w:eastAsia="Arial" w:hAnsi="Arial"/>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Checked by">
    <vt:lpwstr>cajalja</vt:lpwstr>
  </property>
  <property fmtid="{D5CDD505-2E9C-101B-9397-08002B2CF9AE}" pid="7" name="Editor">
    <vt:lpwstr>kilbyrn</vt:lpwstr>
  </property>
  <property fmtid="{D5CDD505-2E9C-101B-9397-08002B2CF9AE}" pid="8" name="ELDocType">
    <vt:lpwstr>REP.DOT</vt:lpwstr>
  </property>
  <property fmtid="{D5CDD505-2E9C-101B-9397-08002B2CF9AE}" pid="9" name="MSIP_Label_f4cdc456-5864-460f-beda-883d23b78bbb_Enabled">
    <vt:lpwstr>true</vt:lpwstr>
  </property>
  <property fmtid="{D5CDD505-2E9C-101B-9397-08002B2CF9AE}" pid="10" name="MSIP_Label_f4cdc456-5864-460f-beda-883d23b78bbb_SetDate">
    <vt:lpwstr>2023-01-19T16:44:26Z</vt:lpwstr>
  </property>
  <property fmtid="{D5CDD505-2E9C-101B-9397-08002B2CF9AE}" pid="11" name="MSIP_Label_f4cdc456-5864-460f-beda-883d23b78bbb_Method">
    <vt:lpwstr>Privileged</vt:lpwstr>
  </property>
  <property fmtid="{D5CDD505-2E9C-101B-9397-08002B2CF9AE}" pid="12" name="MSIP_Label_f4cdc456-5864-460f-beda-883d23b78bbb_Name">
    <vt:lpwstr>Publicly Available</vt:lpwstr>
  </property>
  <property fmtid="{D5CDD505-2E9C-101B-9397-08002B2CF9AE}" pid="13" name="MSIP_Label_f4cdc456-5864-460f-beda-883d23b78bbb_SiteId">
    <vt:lpwstr>b24c8b06-522c-46fe-9080-70926f8dddb1</vt:lpwstr>
  </property>
  <property fmtid="{D5CDD505-2E9C-101B-9397-08002B2CF9AE}" pid="14" name="MSIP_Label_f4cdc456-5864-460f-beda-883d23b78bbb_ActionId">
    <vt:lpwstr>96934cd0-59d2-4a44-959d-b3583fbd8fc4</vt:lpwstr>
  </property>
  <property fmtid="{D5CDD505-2E9C-101B-9397-08002B2CF9AE}" pid="15" name="MSIP_Label_f4cdc456-5864-460f-beda-883d23b78bbb_ContentBits">
    <vt:lpwstr>0</vt:lpwstr>
  </property>
</Properties>
</file>