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sz w:val="28"/>
          <w:szCs w:val="28"/>
          <w:rtl w:val="0"/>
        </w:rPr>
        <w:t xml:space="preserve">CONTRACT NOTICE</w:t>
      </w:r>
      <w:r w:rsidDel="00000000" w:rsidR="00000000" w:rsidRPr="00000000">
        <w:rPr>
          <w:rtl w:val="0"/>
        </w:rPr>
      </w:r>
    </w:p>
    <w:p w:rsidR="00000000" w:rsidDel="00000000" w:rsidP="00000000" w:rsidRDefault="00000000" w:rsidRPr="00000000" w14:paraId="00000002">
      <w:pPr>
        <w:spacing w:after="0" w:before="0" w:lineRule="auto"/>
        <w:rPr>
          <w:b w:val="1"/>
          <w:bCs w:val="1"/>
          <w:u w:val="single"/>
        </w:rPr>
      </w:pPr>
      <w:r w:rsidDel="00000000" w:rsidR="00000000" w:rsidRPr="00000000">
        <w:rPr>
          <w:b w:val="1"/>
          <w:bCs w:val="1"/>
          <w:u w:val="single"/>
          <w:rtl w:val="0"/>
        </w:rPr>
        <w:t xml:space="preserve">CALL FOR TENDER: GENERAL INFORMATION </w:t>
      </w:r>
    </w:p>
    <w:p w:rsidR="00000000" w:rsidDel="00000000" w:rsidP="00000000" w:rsidRDefault="00000000" w:rsidRPr="00000000" w14:paraId="00000003">
      <w:pPr>
        <w:numPr>
          <w:ilvl w:val="0"/>
          <w:numId w:val="3"/>
        </w:numPr>
        <w:spacing w:after="0" w:before="0" w:lineRule="auto"/>
        <w:ind w:left="360" w:hanging="360"/>
        <w:jc w:val="both"/>
        <w:rPr>
          <w:b w:val="1"/>
          <w:bCs w:val="1"/>
          <w:u w:val="single"/>
        </w:rPr>
      </w:pPr>
      <w:r w:rsidDel="00000000" w:rsidR="00000000" w:rsidRPr="00000000">
        <w:rPr>
          <w:b w:val="1"/>
          <w:bCs w:val="1"/>
          <w:u w:val="single"/>
          <w:rtl w:val="0"/>
        </w:rPr>
        <w:t xml:space="preserve">Buyer</w:t>
      </w:r>
    </w:p>
    <w:p w:rsidR="00000000" w:rsidDel="00000000" w:rsidP="00000000" w:rsidRDefault="00000000" w:rsidRPr="00000000" w14:paraId="00000004">
      <w:pPr>
        <w:spacing w:after="0" w:before="0" w:lineRule="auto"/>
        <w:rPr>
          <w:b w:val="1"/>
          <w:bCs w:val="1"/>
        </w:rPr>
      </w:pPr>
      <w:r w:rsidDel="00000000" w:rsidR="00000000" w:rsidRPr="00000000">
        <w:rPr>
          <w:b w:val="0"/>
          <w:bCs w:val="0"/>
          <w:rtl w:val="0"/>
        </w:rPr>
        <w:t xml:space="preserve">Official name: </w:t>
      </w:r>
      <w:r w:rsidDel="00000000" w:rsidR="00000000" w:rsidRPr="00000000">
        <w:rPr>
          <w:b w:val="1"/>
          <w:bCs w:val="1"/>
          <w:rtl w:val="0"/>
        </w:rPr>
        <w:t xml:space="preserve">Javno preduzeće za nacionalne parkove Crne Gore (Public Enterprice for National Parks of Montenegro) </w:t>
      </w:r>
      <w:r w:rsidDel="00000000" w:rsidR="00000000" w:rsidRPr="00000000">
        <w:rPr>
          <w:b w:val="0"/>
          <w:bCs w:val="0"/>
          <w:rtl w:val="0"/>
        </w:rPr>
        <w:br w:type="textWrapping"/>
        <w:t xml:space="preserve">Legal type: </w:t>
      </w:r>
      <w:r w:rsidDel="00000000" w:rsidR="00000000" w:rsidRPr="00000000">
        <w:rPr>
          <w:b w:val="1"/>
          <w:bCs w:val="1"/>
          <w:rtl w:val="0"/>
        </w:rPr>
        <w:t xml:space="preserve">Body governed by public law</w:t>
      </w:r>
    </w:p>
    <w:p w:rsidR="00000000" w:rsidDel="00000000" w:rsidP="00000000" w:rsidRDefault="00000000" w:rsidRPr="00000000" w14:paraId="00000005">
      <w:pPr>
        <w:spacing w:after="0" w:before="0" w:lineRule="auto"/>
        <w:rPr>
          <w:b w:val="1"/>
          <w:bCs w:val="1"/>
        </w:rPr>
      </w:pPr>
      <w:r w:rsidDel="00000000" w:rsidR="00000000" w:rsidRPr="00000000">
        <w:rPr>
          <w:b w:val="0"/>
          <w:bCs w:val="0"/>
          <w:rtl w:val="0"/>
        </w:rPr>
        <w:t xml:space="preserve">Activity of the contracting authority: </w:t>
      </w:r>
      <w:r w:rsidDel="00000000" w:rsidR="00000000" w:rsidRPr="00000000">
        <w:rPr>
          <w:b w:val="1"/>
          <w:bCs w:val="1"/>
          <w:rtl w:val="0"/>
        </w:rPr>
        <w:t xml:space="preserve">Environmental protection, conservation of biodiversity, and management of national parks</w:t>
      </w:r>
    </w:p>
    <w:p w:rsidR="00000000" w:rsidDel="00000000" w:rsidP="00000000" w:rsidRDefault="00000000" w:rsidRPr="00000000" w14:paraId="00000006">
      <w:pPr>
        <w:numPr>
          <w:ilvl w:val="0"/>
          <w:numId w:val="3"/>
        </w:numPr>
        <w:spacing w:after="0" w:before="0" w:lineRule="auto"/>
        <w:ind w:left="360" w:hanging="360"/>
        <w:jc w:val="both"/>
        <w:rPr>
          <w:b w:val="0"/>
          <w:bCs w:val="0"/>
        </w:rPr>
      </w:pPr>
      <w:r w:rsidDel="00000000" w:rsidR="00000000" w:rsidRPr="00000000">
        <w:rPr>
          <w:b w:val="1"/>
          <w:bCs w:val="1"/>
          <w:u w:val="single"/>
          <w:rtl w:val="0"/>
        </w:rPr>
        <w:t xml:space="preserve">Procedure</w:t>
      </w:r>
      <w:r w:rsidDel="00000000" w:rsidR="00000000" w:rsidRPr="00000000">
        <w:rPr>
          <w:rtl w:val="0"/>
        </w:rPr>
      </w:r>
    </w:p>
    <w:p w:rsidR="00000000" w:rsidDel="00000000" w:rsidP="00000000" w:rsidRDefault="00000000" w:rsidRPr="00000000" w14:paraId="00000007">
      <w:pPr>
        <w:spacing w:after="0" w:before="0" w:lineRule="auto"/>
        <w:jc w:val="both"/>
        <w:rPr>
          <w:b w:val="0"/>
          <w:bCs w:val="0"/>
        </w:rPr>
      </w:pPr>
      <w:r w:rsidDel="00000000" w:rsidR="00000000" w:rsidRPr="00000000">
        <w:rPr>
          <w:rtl w:val="0"/>
        </w:rPr>
        <w:t xml:space="preserve">Simplified procedure</w:t>
      </w:r>
      <w:r w:rsidDel="00000000" w:rsidR="00000000" w:rsidRPr="00000000">
        <w:rPr>
          <w:rtl w:val="0"/>
        </w:rPr>
      </w:r>
    </w:p>
    <w:p w:rsidR="00000000" w:rsidDel="00000000" w:rsidP="00000000" w:rsidRDefault="00000000" w:rsidRPr="00000000" w14:paraId="00000008">
      <w:pPr>
        <w:numPr>
          <w:ilvl w:val="1"/>
          <w:numId w:val="3"/>
        </w:numPr>
        <w:spacing w:after="0" w:before="0" w:lineRule="auto"/>
        <w:ind w:left="432" w:hanging="432"/>
        <w:jc w:val="both"/>
        <w:rPr>
          <w:b w:val="0"/>
          <w:bCs w:val="0"/>
        </w:rPr>
      </w:pPr>
      <w:r w:rsidDel="00000000" w:rsidR="00000000" w:rsidRPr="00000000">
        <w:rPr>
          <w:b w:val="1"/>
          <w:bCs w:val="1"/>
          <w:rtl w:val="0"/>
        </w:rPr>
        <w:t xml:space="preserve">Procedure</w:t>
      </w:r>
      <w:r w:rsidDel="00000000" w:rsidR="00000000" w:rsidRPr="00000000">
        <w:rPr>
          <w:rtl w:val="0"/>
        </w:rPr>
      </w:r>
    </w:p>
    <w:p w:rsidR="00000000" w:rsidDel="00000000" w:rsidP="00000000" w:rsidRDefault="00000000" w:rsidRPr="00000000" w14:paraId="00000009">
      <w:pPr>
        <w:spacing w:after="0" w:before="0" w:lineRule="auto"/>
        <w:jc w:val="both"/>
        <w:rPr>
          <w:b w:val="0"/>
          <w:bCs w:val="0"/>
        </w:rPr>
      </w:pPr>
      <w:r w:rsidDel="00000000" w:rsidR="00000000" w:rsidRPr="00000000">
        <w:rPr>
          <w:i w:val="1"/>
          <w:iCs w:val="1"/>
          <w:rtl w:val="0"/>
        </w:rPr>
        <w:t xml:space="preserve">Title:</w:t>
      </w:r>
      <w:r w:rsidDel="00000000" w:rsidR="00000000" w:rsidRPr="00000000">
        <w:rPr>
          <w:b w:val="0"/>
          <w:bCs w:val="0"/>
          <w:rtl w:val="0"/>
        </w:rPr>
        <w:t xml:space="preserve">  </w:t>
      </w:r>
      <w:r w:rsidDel="00000000" w:rsidR="00000000" w:rsidRPr="00000000">
        <w:rPr>
          <w:b w:val="1"/>
          <w:bCs w:val="1"/>
          <w:sz w:val="22"/>
          <w:szCs w:val="22"/>
          <w:rtl w:val="0"/>
        </w:rPr>
        <w:t xml:space="preserve">Tender for service of development of conservation plan and data collection on Barno Lake in Montenegro - LASPEH 2.0 Project </w:t>
      </w:r>
      <w:r w:rsidDel="00000000" w:rsidR="00000000" w:rsidRPr="00000000">
        <w:rPr>
          <w:rtl w:val="0"/>
        </w:rPr>
      </w:r>
    </w:p>
    <w:p w:rsidR="00000000" w:rsidDel="00000000" w:rsidP="00000000" w:rsidRDefault="00000000" w:rsidRPr="00000000" w14:paraId="0000000A">
      <w:pPr>
        <w:spacing w:after="0" w:before="0" w:lineRule="auto"/>
        <w:jc w:val="both"/>
        <w:rPr>
          <w:highlight w:val="yellow"/>
        </w:rPr>
      </w:pPr>
      <w:r w:rsidDel="00000000" w:rsidR="00000000" w:rsidRPr="00000000">
        <w:rPr>
          <w:b w:val="0"/>
          <w:bCs w:val="0"/>
          <w:i w:val="1"/>
          <w:iCs w:val="1"/>
          <w:rtl w:val="0"/>
        </w:rPr>
        <w:t xml:space="preserve">Short description of the contract: </w:t>
      </w:r>
      <w:r w:rsidDel="00000000" w:rsidR="00000000" w:rsidRPr="00000000">
        <w:rPr>
          <w:rtl w:val="0"/>
        </w:rPr>
      </w:r>
    </w:p>
    <w:p w:rsidR="00000000" w:rsidDel="00000000" w:rsidP="00000000" w:rsidRDefault="00000000" w:rsidRPr="00000000" w14:paraId="0000000B">
      <w:pPr>
        <w:spacing w:after="0" w:before="0" w:lineRule="auto"/>
        <w:jc w:val="both"/>
        <w:rPr>
          <w:i w:val="1"/>
          <w:iCs w:val="1"/>
          <w:sz w:val="20"/>
          <w:szCs w:val="20"/>
        </w:rPr>
      </w:pPr>
      <w:r w:rsidDel="00000000" w:rsidR="00000000" w:rsidRPr="00000000">
        <w:rPr>
          <w:i w:val="1"/>
          <w:iCs w:val="1"/>
          <w:sz w:val="20"/>
          <w:szCs w:val="20"/>
          <w:rtl w:val="0"/>
        </w:rPr>
        <w:t xml:space="preserve">The contract concerns the provision of expert services for the development of a comprehensive Conservation Plan and the implementation of targeted data collection activities for Barno Lake, Montenegro, within the framework of the LASPEH 2.0 Project. The assignment includes field-based ecological surveys, collection and analysis of baseline environmental data, and assessment of conservation status of habitats and species of relevance, in line with EU nature protection standards and Natura 2000 methodological requirements. The contractor will elaborate a structured Conservation Plan defining conservation objectives, pressures and threats, proposed conservation and restoration measures, monitoring recommendations, and implementation priorities. The services will ensure an evidence-based foundation for long-term protection, sustainable management, and policy-aligned conservation of Barno Lake and its surrounding ecosystems, while supporting cross-border and EU-aligned environmental governance objectives of the project.</w:t>
      </w:r>
    </w:p>
    <w:p w:rsidR="00000000" w:rsidDel="00000000" w:rsidP="00000000" w:rsidRDefault="00000000" w:rsidRPr="00000000" w14:paraId="0000000C">
      <w:pPr>
        <w:spacing w:after="0" w:before="0" w:lineRule="auto"/>
        <w:jc w:val="both"/>
        <w:rPr>
          <w:b w:val="0"/>
          <w:bCs w:val="0"/>
        </w:rPr>
      </w:pPr>
      <w:r w:rsidDel="00000000" w:rsidR="00000000" w:rsidRPr="00000000">
        <w:rPr>
          <w:b w:val="0"/>
          <w:bCs w:val="0"/>
          <w:i w:val="1"/>
          <w:iCs w:val="1"/>
          <w:rtl w:val="0"/>
        </w:rPr>
        <w:t xml:space="preserve">Type of procedure:</w:t>
      </w:r>
      <w:r w:rsidDel="00000000" w:rsidR="00000000" w:rsidRPr="00000000">
        <w:rPr>
          <w:b w:val="0"/>
          <w:bCs w:val="0"/>
          <w:rtl w:val="0"/>
        </w:rPr>
        <w:t xml:space="preserve"> </w:t>
      </w:r>
      <w:r w:rsidDel="00000000" w:rsidR="00000000" w:rsidRPr="00000000">
        <w:rPr>
          <w:highlight w:val="lightGray"/>
          <w:rtl w:val="0"/>
        </w:rPr>
        <w:t xml:space="preserve">Open</w:t>
      </w:r>
      <w:r w:rsidDel="00000000" w:rsidR="00000000" w:rsidRPr="00000000">
        <w:rPr>
          <w:rtl w:val="0"/>
        </w:rPr>
      </w:r>
    </w:p>
    <w:p w:rsidR="00000000" w:rsidDel="00000000" w:rsidP="00000000" w:rsidRDefault="00000000" w:rsidRPr="00000000" w14:paraId="0000000D">
      <w:pPr>
        <w:numPr>
          <w:ilvl w:val="2"/>
          <w:numId w:val="3"/>
        </w:numPr>
        <w:spacing w:after="0" w:before="0" w:lineRule="auto"/>
        <w:ind w:left="504" w:hanging="504"/>
        <w:jc w:val="both"/>
        <w:rPr>
          <w:b w:val="1"/>
          <w:bCs w:val="1"/>
        </w:rPr>
      </w:pPr>
      <w:r w:rsidDel="00000000" w:rsidR="00000000" w:rsidRPr="00000000">
        <w:rPr>
          <w:b w:val="1"/>
          <w:bCs w:val="1"/>
          <w:rtl w:val="0"/>
        </w:rPr>
        <w:t xml:space="preserve"> Purpose</w:t>
      </w:r>
      <w:r w:rsidDel="00000000" w:rsidR="00000000" w:rsidRPr="00000000">
        <w:rPr>
          <w:rtl w:val="0"/>
        </w:rPr>
      </w:r>
    </w:p>
    <w:p w:rsidR="00000000" w:rsidDel="00000000" w:rsidP="00000000" w:rsidRDefault="00000000" w:rsidRPr="00000000" w14:paraId="0000000E">
      <w:pPr>
        <w:spacing w:after="0" w:before="0" w:lineRule="auto"/>
        <w:jc w:val="both"/>
        <w:rPr>
          <w:b w:val="0"/>
          <w:bCs w:val="0"/>
        </w:rPr>
      </w:pPr>
      <w:r w:rsidDel="00000000" w:rsidR="00000000" w:rsidRPr="00000000">
        <w:rPr>
          <w:b w:val="0"/>
          <w:bCs w:val="0"/>
          <w:i w:val="1"/>
          <w:iCs w:val="1"/>
          <w:rtl w:val="0"/>
        </w:rPr>
        <w:t xml:space="preserve">Nature of the contract:</w:t>
      </w:r>
      <w:r w:rsidDel="00000000" w:rsidR="00000000" w:rsidRPr="00000000">
        <w:rPr>
          <w:rtl w:val="0"/>
        </w:rPr>
        <w:t xml:space="preserve"> </w:t>
      </w:r>
      <w:r w:rsidDel="00000000" w:rsidR="00000000" w:rsidRPr="00000000">
        <w:rPr>
          <w:b w:val="1"/>
          <w:bCs w:val="1"/>
          <w:i w:val="0"/>
          <w:iCs w:val="0"/>
          <w:rtl w:val="0"/>
        </w:rPr>
        <w:t xml:space="preserve">Services</w:t>
      </w:r>
      <w:r w:rsidDel="00000000" w:rsidR="00000000" w:rsidRPr="00000000">
        <w:rPr>
          <w:rtl w:val="0"/>
        </w:rPr>
      </w:r>
    </w:p>
    <w:p w:rsidR="00000000" w:rsidDel="00000000" w:rsidP="00000000" w:rsidRDefault="00000000" w:rsidRPr="00000000" w14:paraId="0000000F">
      <w:pPr>
        <w:numPr>
          <w:ilvl w:val="2"/>
          <w:numId w:val="4"/>
        </w:numPr>
        <w:spacing w:after="0" w:before="0" w:lineRule="auto"/>
        <w:ind w:left="720" w:hanging="720"/>
        <w:jc w:val="both"/>
        <w:rPr>
          <w:b w:val="1"/>
          <w:bCs w:val="1"/>
        </w:rPr>
      </w:pPr>
      <w:r w:rsidDel="00000000" w:rsidR="00000000" w:rsidRPr="00000000">
        <w:rPr>
          <w:b w:val="1"/>
          <w:bCs w:val="1"/>
          <w:rtl w:val="0"/>
        </w:rPr>
        <w:t xml:space="preserve">Estimated total value </w:t>
      </w:r>
      <w:r w:rsidDel="00000000" w:rsidR="00000000" w:rsidRPr="00000000">
        <w:rPr>
          <w:rtl w:val="0"/>
        </w:rPr>
      </w:r>
    </w:p>
    <w:p w:rsidR="00000000" w:rsidDel="00000000" w:rsidP="00000000" w:rsidRDefault="00000000" w:rsidRPr="00000000" w14:paraId="00000010">
      <w:pPr>
        <w:spacing w:after="0" w:before="0" w:lineRule="auto"/>
        <w:jc w:val="both"/>
        <w:rPr>
          <w:b w:val="1"/>
          <w:bCs w:val="1"/>
        </w:rPr>
      </w:pPr>
      <w:r w:rsidDel="00000000" w:rsidR="00000000" w:rsidRPr="00000000">
        <w:rPr>
          <w:b w:val="1"/>
          <w:bCs w:val="1"/>
          <w:rtl w:val="0"/>
        </w:rPr>
        <w:t xml:space="preserve">Value excluding VAT: 39,669.42</w:t>
      </w:r>
      <w:r w:rsidDel="00000000" w:rsidR="00000000" w:rsidRPr="00000000">
        <w:rPr>
          <w:b w:val="1"/>
          <w:bCs w:val="1"/>
          <w:rtl w:val="0"/>
        </w:rPr>
        <w:t xml:space="preserve">   </w:t>
      </w:r>
      <w:r w:rsidDel="00000000" w:rsidR="00000000" w:rsidRPr="00000000">
        <w:rPr>
          <w:b w:val="1"/>
          <w:bCs w:val="1"/>
          <w:rtl w:val="0"/>
        </w:rPr>
        <w:t xml:space="preserve">Currency:  EUR</w:t>
      </w:r>
      <w:r w:rsidDel="00000000" w:rsidR="00000000" w:rsidRPr="00000000">
        <w:rPr>
          <w:rtl w:val="0"/>
        </w:rPr>
      </w:r>
    </w:p>
    <w:p w:rsidR="00000000" w:rsidDel="00000000" w:rsidP="00000000" w:rsidRDefault="00000000" w:rsidRPr="00000000" w14:paraId="00000011">
      <w:pPr>
        <w:spacing w:after="0" w:before="0" w:lineRule="auto"/>
        <w:jc w:val="both"/>
        <w:rPr/>
      </w:pPr>
      <w:r w:rsidDel="00000000" w:rsidR="00000000" w:rsidRPr="00000000">
        <w:rPr>
          <w:rtl w:val="0"/>
        </w:rPr>
        <w:t xml:space="preserve">Total estimated value of the contracting, including all lots. In case of supply and work contracts, do not indicate the estimated value nor the available budget. Instead provide an estimation of the volume of the purchase (e.g. number of supply items) in the description (Heading 2.1.) to give the necessary elements in the call allowing the economic operators to prepare and submit the offers.</w:t>
      </w:r>
    </w:p>
    <w:p w:rsidR="00000000" w:rsidDel="00000000" w:rsidP="00000000" w:rsidRDefault="00000000" w:rsidRPr="00000000" w14:paraId="00000012">
      <w:pPr>
        <w:spacing w:after="0" w:before="0" w:lineRule="auto"/>
        <w:jc w:val="both"/>
        <w:rPr/>
      </w:pPr>
      <w:r w:rsidDel="00000000" w:rsidR="00000000" w:rsidRPr="00000000">
        <w:rPr>
          <w:rtl w:val="0"/>
        </w:rPr>
        <w:t xml:space="preserve">Use the ISO code of national currency only in the following cases: (i) when legal or local constraints exceptionally impose using the national currency; (ii) when needed, for contracts within the imprest component of a programme estimate. </w:t>
      </w:r>
    </w:p>
    <w:p w:rsidR="00000000" w:rsidDel="00000000" w:rsidP="00000000" w:rsidRDefault="00000000" w:rsidRPr="00000000" w14:paraId="00000013">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14">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15">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16">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17">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18">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19">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1A">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1B">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1C">
      <w:pPr>
        <w:numPr>
          <w:ilvl w:val="2"/>
          <w:numId w:val="4"/>
        </w:numPr>
        <w:spacing w:after="0" w:before="0" w:lineRule="auto"/>
        <w:ind w:left="720" w:hanging="720"/>
        <w:jc w:val="both"/>
        <w:rPr>
          <w:b w:val="1"/>
          <w:bCs w:val="1"/>
        </w:rPr>
      </w:pPr>
      <w:bookmarkStart w:colFirst="0" w:colLast="0" w:name="_5okv0dww3rsd" w:id="0"/>
      <w:bookmarkEnd w:id="0"/>
      <w:r w:rsidDel="00000000" w:rsidR="00000000" w:rsidRPr="00000000">
        <w:rPr>
          <w:b w:val="1"/>
          <w:bCs w:val="1"/>
          <w:rtl w:val="0"/>
        </w:rPr>
        <w:t xml:space="preserve">General information</w:t>
      </w:r>
    </w:p>
    <w:p w:rsidR="00000000" w:rsidDel="00000000" w:rsidP="00000000" w:rsidRDefault="00000000" w:rsidRPr="00000000" w14:paraId="0000001D">
      <w:pPr>
        <w:spacing w:after="0" w:before="0" w:lineRule="auto"/>
        <w:jc w:val="both"/>
        <w:rPr>
          <w:b w:val="0"/>
          <w:bCs w:val="0"/>
        </w:rPr>
      </w:pPr>
      <w:r w:rsidDel="00000000" w:rsidR="00000000" w:rsidRPr="00000000">
        <w:rPr>
          <w:b w:val="0"/>
          <w:bCs w:val="0"/>
          <w:i w:val="1"/>
          <w:iCs w:val="1"/>
          <w:rtl w:val="0"/>
        </w:rPr>
        <w:t xml:space="preserve">Legal basis:</w:t>
      </w:r>
      <w:r w:rsidDel="00000000" w:rsidR="00000000" w:rsidRPr="00000000">
        <w:rPr>
          <w:b w:val="0"/>
          <w:bCs w:val="0"/>
          <w:rtl w:val="0"/>
        </w:rPr>
        <w:t xml:space="preserve"> </w:t>
      </w:r>
    </w:p>
    <w:p w:rsidR="00000000" w:rsidDel="00000000" w:rsidP="00000000" w:rsidRDefault="00000000" w:rsidRPr="00000000" w14:paraId="0000001E">
      <w:pPr>
        <w:spacing w:after="0" w:before="0" w:lineRule="auto"/>
        <w:jc w:val="both"/>
        <w:rPr>
          <w:b w:val="0"/>
          <w:bCs w:val="0"/>
        </w:rPr>
      </w:pPr>
      <w:r w:rsidDel="00000000" w:rsidR="00000000" w:rsidRPr="00000000">
        <w:rPr>
          <w:b w:val="0"/>
          <w:bCs w:val="0"/>
          <w:rtl w:val="0"/>
        </w:rPr>
        <w:t xml:space="preserve">Regulation (EU, Euratom) 2024/2509 of the European Parliament and of the Council of 23 September 2024 on the financial rules applicable to the general budget of the Union</w:t>
      </w:r>
      <w:r w:rsidDel="00000000" w:rsidR="00000000" w:rsidRPr="00000000">
        <w:rPr>
          <w:vertAlign w:val="superscript"/>
        </w:rPr>
        <w:footnoteReference w:customMarkFollows="0" w:id="0"/>
      </w:r>
      <w:r w:rsidDel="00000000" w:rsidR="00000000" w:rsidRPr="00000000">
        <w:rPr>
          <w:b w:val="0"/>
          <w:bCs w:val="0"/>
          <w:rtl w:val="0"/>
        </w:rPr>
        <w:t xml:space="preserve">. </w:t>
      </w:r>
    </w:p>
    <w:p w:rsidR="00000000" w:rsidDel="00000000" w:rsidP="00000000" w:rsidRDefault="00000000" w:rsidRPr="00000000" w14:paraId="0000001F">
      <w:pPr>
        <w:spacing w:after="0" w:before="0" w:lineRule="auto"/>
        <w:jc w:val="both"/>
        <w:rPr/>
      </w:pPr>
      <w:r w:rsidDel="00000000" w:rsidR="00000000" w:rsidRPr="00000000">
        <w:rPr>
          <w:rtl w:val="0"/>
        </w:rPr>
        <w:t xml:space="preserve">Local Law - Procurement award procedure applying to European Union external actions financed from the general budget of the European Union and the European Development Fund (EDF).</w:t>
      </w:r>
    </w:p>
    <w:p w:rsidR="00000000" w:rsidDel="00000000" w:rsidP="00000000" w:rsidRDefault="00000000" w:rsidRPr="00000000" w14:paraId="00000020">
      <w:pPr>
        <w:spacing w:after="0" w:before="0" w:lineRule="auto"/>
        <w:jc w:val="both"/>
        <w:rPr>
          <w:b w:val="1"/>
          <w:bCs w:val="1"/>
        </w:rPr>
      </w:pPr>
      <w:r w:rsidDel="00000000" w:rsidR="00000000" w:rsidRPr="00000000">
        <w:rPr>
          <w:b w:val="1"/>
          <w:bCs w:val="1"/>
          <w:rtl w:val="0"/>
        </w:rPr>
        <w:t xml:space="preserve">2.1.6.  Grounds for exclusion</w:t>
      </w:r>
    </w:p>
    <w:p w:rsidR="00000000" w:rsidDel="00000000" w:rsidP="00000000" w:rsidRDefault="00000000" w:rsidRPr="00000000" w14:paraId="00000021">
      <w:pPr>
        <w:spacing w:after="0" w:before="0" w:lineRule="auto"/>
        <w:jc w:val="both"/>
        <w:rPr>
          <w:highlight w:val="yellow"/>
        </w:rPr>
      </w:pPr>
      <w:r w:rsidDel="00000000" w:rsidR="00000000" w:rsidRPr="00000000">
        <w:rPr>
          <w:b w:val="0"/>
          <w:bCs w:val="0"/>
          <w:i w:val="1"/>
          <w:iCs w:val="1"/>
          <w:rtl w:val="0"/>
        </w:rPr>
        <w:t xml:space="preserve">Description</w:t>
      </w:r>
      <w:r w:rsidDel="00000000" w:rsidR="00000000" w:rsidRPr="00000000">
        <w:rPr>
          <w:b w:val="0"/>
          <w:bCs w:val="0"/>
          <w:rtl w:val="0"/>
        </w:rPr>
        <w:t xml:space="preserve">: </w:t>
      </w:r>
      <w:r w:rsidDel="00000000" w:rsidR="00000000" w:rsidRPr="00000000">
        <w:rPr>
          <w:rtl w:val="0"/>
        </w:rPr>
        <w:t xml:space="preserve">Please consult the procurement documents. </w:t>
      </w:r>
      <w:r w:rsidDel="00000000" w:rsidR="00000000" w:rsidRPr="00000000">
        <w:rPr>
          <w:rtl w:val="0"/>
        </w:rPr>
      </w:r>
    </w:p>
    <w:p w:rsidR="00000000" w:rsidDel="00000000" w:rsidP="00000000" w:rsidRDefault="00000000" w:rsidRPr="00000000" w14:paraId="00000022">
      <w:pPr>
        <w:keepNext w:val="1"/>
        <w:spacing w:after="0" w:before="0" w:lineRule="auto"/>
        <w:jc w:val="both"/>
        <w:rPr>
          <w:b w:val="1"/>
          <w:bCs w:val="1"/>
          <w:u w:val="single"/>
        </w:rPr>
      </w:pPr>
      <w:r w:rsidDel="00000000" w:rsidR="00000000" w:rsidRPr="00000000">
        <w:rPr>
          <w:b w:val="1"/>
          <w:bCs w:val="1"/>
          <w:u w:val="single"/>
          <w:rtl w:val="0"/>
        </w:rPr>
        <w:t xml:space="preserve">5. Lot</w:t>
      </w:r>
    </w:p>
    <w:p w:rsidR="00000000" w:rsidDel="00000000" w:rsidP="00000000" w:rsidRDefault="00000000" w:rsidRPr="00000000" w14:paraId="00000023">
      <w:pPr>
        <w:spacing w:after="0" w:before="0" w:lineRule="auto"/>
        <w:jc w:val="both"/>
        <w:rPr>
          <w:b w:val="1"/>
          <w:bCs w:val="1"/>
        </w:rPr>
      </w:pPr>
      <w:r w:rsidDel="00000000" w:rsidR="00000000" w:rsidRPr="00000000">
        <w:rPr>
          <w:b w:val="0"/>
          <w:bCs w:val="0"/>
          <w:rtl w:val="0"/>
        </w:rPr>
        <w:t xml:space="preserve">This contract is divided into lots</w:t>
      </w:r>
      <w:r w:rsidDel="00000000" w:rsidR="00000000" w:rsidRPr="00000000">
        <w:rPr>
          <w:b w:val="0"/>
          <w:bCs w:val="0"/>
          <w:rtl w:val="0"/>
        </w:rPr>
        <w:t xml:space="preserve">: </w:t>
      </w:r>
      <w:r w:rsidDel="00000000" w:rsidR="00000000" w:rsidRPr="00000000">
        <w:rPr>
          <w:b w:val="1"/>
          <w:bCs w:val="1"/>
          <w:rtl w:val="0"/>
        </w:rPr>
        <w:t xml:space="preserve">no</w:t>
      </w:r>
      <w:r w:rsidDel="00000000" w:rsidR="00000000" w:rsidRPr="00000000">
        <w:rPr>
          <w:b w:val="0"/>
          <w:bCs w:val="0"/>
          <w:highlight w:val="lightGray"/>
          <w:rtl w:val="0"/>
        </w:rPr>
        <w:br w:type="textWrapping"/>
      </w:r>
      <w:r w:rsidDel="00000000" w:rsidR="00000000" w:rsidRPr="00000000">
        <w:rPr>
          <w:b w:val="1"/>
          <w:bCs w:val="1"/>
          <w:rtl w:val="0"/>
        </w:rPr>
        <w:t xml:space="preserve">One lot only</w:t>
      </w:r>
    </w:p>
    <w:p w:rsidR="00000000" w:rsidDel="00000000" w:rsidP="00000000" w:rsidRDefault="00000000" w:rsidRPr="00000000" w14:paraId="00000024">
      <w:pPr>
        <w:spacing w:after="0" w:before="0" w:lineRule="auto"/>
        <w:jc w:val="both"/>
        <w:rPr>
          <w:b w:val="0"/>
          <w:bCs w:val="0"/>
        </w:rPr>
      </w:pPr>
      <w:r w:rsidDel="00000000" w:rsidR="00000000" w:rsidRPr="00000000">
        <w:rPr>
          <w:b w:val="1"/>
          <w:bCs w:val="1"/>
          <w:rtl w:val="0"/>
        </w:rPr>
        <w:t xml:space="preserve">5.1. Information per lot</w:t>
      </w:r>
      <w:r w:rsidDel="00000000" w:rsidR="00000000" w:rsidRPr="00000000">
        <w:rPr>
          <w:rtl w:val="0"/>
        </w:rPr>
      </w:r>
    </w:p>
    <w:p w:rsidR="00000000" w:rsidDel="00000000" w:rsidP="00000000" w:rsidRDefault="00000000" w:rsidRPr="00000000" w14:paraId="00000025">
      <w:pPr>
        <w:spacing w:after="0" w:before="0" w:lineRule="auto"/>
        <w:jc w:val="both"/>
        <w:rPr>
          <w:highlight w:val="yellow"/>
        </w:rPr>
      </w:pPr>
      <w:r w:rsidDel="00000000" w:rsidR="00000000" w:rsidRPr="00000000">
        <w:rPr>
          <w:i w:val="1"/>
          <w:iCs w:val="1"/>
          <w:rtl w:val="0"/>
        </w:rPr>
        <w:t xml:space="preserve">Title:</w:t>
      </w:r>
      <w:r w:rsidDel="00000000" w:rsidR="00000000" w:rsidRPr="00000000">
        <w:rPr>
          <w:b w:val="1"/>
          <w:bCs w:val="1"/>
          <w:sz w:val="22"/>
          <w:szCs w:val="22"/>
          <w:rtl w:val="0"/>
        </w:rPr>
        <w:t xml:space="preserve">Tender for service of development of conservation plan and data collection on Barno Lake in Montenegro - LASPEH 2.0 Project </w:t>
      </w:r>
      <w:r w:rsidDel="00000000" w:rsidR="00000000" w:rsidRPr="00000000">
        <w:rPr>
          <w:rtl w:val="0"/>
        </w:rPr>
      </w:r>
    </w:p>
    <w:p w:rsidR="00000000" w:rsidDel="00000000" w:rsidP="00000000" w:rsidRDefault="00000000" w:rsidRPr="00000000" w14:paraId="00000026">
      <w:pPr>
        <w:spacing w:after="0" w:before="0" w:lineRule="auto"/>
        <w:jc w:val="both"/>
        <w:rPr>
          <w:i w:val="0"/>
          <w:iCs w:val="0"/>
        </w:rPr>
      </w:pPr>
      <w:r w:rsidDel="00000000" w:rsidR="00000000" w:rsidRPr="00000000">
        <w:rPr>
          <w:b w:val="0"/>
          <w:bCs w:val="0"/>
          <w:i w:val="1"/>
          <w:iCs w:val="1"/>
          <w:rtl w:val="0"/>
        </w:rPr>
        <w:t xml:space="preserve">Short description of the contract: </w:t>
      </w:r>
      <w:r w:rsidDel="00000000" w:rsidR="00000000" w:rsidRPr="00000000">
        <w:rPr>
          <w:i w:val="1"/>
          <w:iCs w:val="1"/>
          <w:sz w:val="20"/>
          <w:szCs w:val="20"/>
          <w:rtl w:val="0"/>
        </w:rPr>
        <w:t xml:space="preserve">The contract concerns the provision of expert services for the development of a comprehensive Conservation Plan and the implementation of targeted data collection activities for Barno Lake, Montenegro, within the framework of the LASPEH 2.0 Project. The assignment includes field-based ecological surveys, collection and analysis of baseline environmental data, and assessment of conservation status of habitats and species of relevance, in line with EU nature protection standards and Natura 2000 methodological requirements. The contractor will elaborate a structured Conservation Plan defining conservation objectives, pressures and threats, proposed conservation and restoration measures, monitoring recommendations, and implementation priorities. The services will ensure an evidence-based foundation for long-term protection, sustainable management, and policy-aligned conservation of Barno Lake and its surrounding ecosystems, while supporting cross-border and EU-aligned environmental governance objectives of the project.</w:t>
      </w:r>
      <w:r w:rsidDel="00000000" w:rsidR="00000000" w:rsidRPr="00000000">
        <w:rPr>
          <w:rtl w:val="0"/>
        </w:rPr>
      </w:r>
    </w:p>
    <w:p w:rsidR="00000000" w:rsidDel="00000000" w:rsidP="00000000" w:rsidRDefault="00000000" w:rsidRPr="00000000" w14:paraId="00000027">
      <w:pPr>
        <w:spacing w:after="0" w:before="0" w:lineRule="auto"/>
        <w:jc w:val="both"/>
        <w:rPr>
          <w:b w:val="1"/>
          <w:bCs w:val="1"/>
        </w:rPr>
      </w:pPr>
      <w:r w:rsidDel="00000000" w:rsidR="00000000" w:rsidRPr="00000000">
        <w:rPr>
          <w:b w:val="1"/>
          <w:bCs w:val="1"/>
          <w:rtl w:val="0"/>
        </w:rPr>
        <w:t xml:space="preserve">5.1.1. Purpose</w:t>
      </w:r>
    </w:p>
    <w:p w:rsidR="00000000" w:rsidDel="00000000" w:rsidP="00000000" w:rsidRDefault="00000000" w:rsidRPr="00000000" w14:paraId="00000028">
      <w:pPr>
        <w:spacing w:after="0" w:before="0" w:lineRule="auto"/>
        <w:jc w:val="both"/>
        <w:rPr>
          <w:i w:val="0"/>
          <w:iCs w:val="0"/>
        </w:rPr>
      </w:pPr>
      <w:r w:rsidDel="00000000" w:rsidR="00000000" w:rsidRPr="00000000">
        <w:rPr>
          <w:b w:val="0"/>
          <w:bCs w:val="0"/>
          <w:i w:val="1"/>
          <w:iCs w:val="1"/>
          <w:rtl w:val="0"/>
        </w:rPr>
        <w:t xml:space="preserve">Nature of the contract:</w:t>
      </w:r>
      <w:r w:rsidDel="00000000" w:rsidR="00000000" w:rsidRPr="00000000">
        <w:rPr>
          <w:i w:val="0"/>
          <w:iCs w:val="0"/>
          <w:rtl w:val="0"/>
        </w:rPr>
        <w:t xml:space="preserve"> </w:t>
      </w:r>
      <w:r w:rsidDel="00000000" w:rsidR="00000000" w:rsidRPr="00000000">
        <w:rPr>
          <w:b w:val="1"/>
          <w:bCs w:val="1"/>
          <w:i w:val="0"/>
          <w:iCs w:val="0"/>
          <w:highlight w:val="lightGray"/>
          <w:rtl w:val="0"/>
        </w:rPr>
        <w:t xml:space="preserve">Services</w:t>
      </w:r>
      <w:r w:rsidDel="00000000" w:rsidR="00000000" w:rsidRPr="00000000">
        <w:rPr>
          <w:rtl w:val="0"/>
        </w:rPr>
      </w:r>
    </w:p>
    <w:p w:rsidR="00000000" w:rsidDel="00000000" w:rsidP="00000000" w:rsidRDefault="00000000" w:rsidRPr="00000000" w14:paraId="00000029">
      <w:pPr>
        <w:spacing w:after="0" w:before="0" w:lineRule="auto"/>
        <w:jc w:val="both"/>
        <w:rPr>
          <w:b w:val="1"/>
          <w:bCs w:val="1"/>
        </w:rPr>
      </w:pPr>
      <w:r w:rsidDel="00000000" w:rsidR="00000000" w:rsidRPr="00000000">
        <w:rPr>
          <w:b w:val="1"/>
          <w:bCs w:val="1"/>
          <w:rtl w:val="0"/>
        </w:rPr>
        <w:t xml:space="preserve">5.1.2. Place of performance</w:t>
      </w:r>
    </w:p>
    <w:p w:rsidR="00000000" w:rsidDel="00000000" w:rsidP="00000000" w:rsidRDefault="00000000" w:rsidRPr="00000000" w14:paraId="0000002A">
      <w:pPr>
        <w:spacing w:after="0" w:before="0" w:lineRule="auto"/>
        <w:jc w:val="both"/>
        <w:rPr>
          <w:b w:val="1"/>
          <w:bCs w:val="1"/>
        </w:rPr>
      </w:pPr>
      <w:r w:rsidDel="00000000" w:rsidR="00000000" w:rsidRPr="00000000">
        <w:rPr>
          <w:b w:val="0"/>
          <w:bCs w:val="0"/>
          <w:rtl w:val="0"/>
        </w:rPr>
        <w:t xml:space="preserve">Country/Geographical zone: </w:t>
      </w:r>
      <w:r w:rsidDel="00000000" w:rsidR="00000000" w:rsidRPr="00000000">
        <w:rPr>
          <w:b w:val="1"/>
          <w:bCs w:val="1"/>
          <w:rtl w:val="0"/>
        </w:rPr>
        <w:t xml:space="preserve">Montenegro</w:t>
      </w:r>
    </w:p>
    <w:p w:rsidR="00000000" w:rsidDel="00000000" w:rsidP="00000000" w:rsidRDefault="00000000" w:rsidRPr="00000000" w14:paraId="0000002B">
      <w:pPr>
        <w:spacing w:after="0" w:before="0" w:lineRule="auto"/>
        <w:jc w:val="both"/>
        <w:rPr>
          <w:b w:val="1"/>
          <w:bCs w:val="1"/>
        </w:rPr>
      </w:pPr>
      <w:r w:rsidDel="00000000" w:rsidR="00000000" w:rsidRPr="00000000">
        <w:rPr>
          <w:b w:val="1"/>
          <w:bCs w:val="1"/>
          <w:rtl w:val="0"/>
        </w:rPr>
        <w:t xml:space="preserve">5.1.3. Estimated duration</w:t>
      </w:r>
    </w:p>
    <w:p w:rsidR="00000000" w:rsidDel="00000000" w:rsidP="00000000" w:rsidRDefault="00000000" w:rsidRPr="00000000" w14:paraId="0000002C">
      <w:pPr>
        <w:spacing w:after="0" w:before="0" w:lineRule="auto"/>
        <w:jc w:val="both"/>
        <w:rPr>
          <w:b w:val="1"/>
          <w:bCs w:val="1"/>
        </w:rPr>
      </w:pPr>
      <w:r w:rsidDel="00000000" w:rsidR="00000000" w:rsidRPr="00000000">
        <w:rPr>
          <w:i w:val="1"/>
          <w:iCs w:val="1"/>
          <w:rtl w:val="0"/>
        </w:rPr>
        <w:t xml:space="preserve">Duration:</w:t>
      </w:r>
      <w:r w:rsidDel="00000000" w:rsidR="00000000" w:rsidRPr="00000000">
        <w:rPr>
          <w:b w:val="1"/>
          <w:bCs w:val="1"/>
          <w:i w:val="1"/>
          <w:iCs w:val="1"/>
          <w:rtl w:val="0"/>
        </w:rPr>
        <w:t xml:space="preserve"> </w:t>
      </w:r>
      <w:r w:rsidDel="00000000" w:rsidR="00000000" w:rsidRPr="00000000">
        <w:rPr>
          <w:b w:val="1"/>
          <w:bCs w:val="1"/>
          <w:rtl w:val="0"/>
        </w:rPr>
        <w:t xml:space="preserve"> 9 months</w:t>
      </w:r>
    </w:p>
    <w:p w:rsidR="00000000" w:rsidDel="00000000" w:rsidP="00000000" w:rsidRDefault="00000000" w:rsidRPr="00000000" w14:paraId="0000002D">
      <w:pPr>
        <w:spacing w:after="0" w:before="0" w:lineRule="auto"/>
        <w:jc w:val="both"/>
        <w:rPr/>
      </w:pPr>
      <w:r w:rsidDel="00000000" w:rsidR="00000000" w:rsidRPr="00000000">
        <w:rPr>
          <w:b w:val="1"/>
          <w:bCs w:val="1"/>
          <w:rtl w:val="0"/>
        </w:rPr>
        <w:t xml:space="preserve">5.1.5. Estimated value per lot (only for service contracts)</w:t>
      </w:r>
      <w:r w:rsidDel="00000000" w:rsidR="00000000" w:rsidRPr="00000000">
        <w:rPr>
          <w:rtl w:val="0"/>
        </w:rPr>
      </w:r>
    </w:p>
    <w:p w:rsidR="00000000" w:rsidDel="00000000" w:rsidP="00000000" w:rsidRDefault="00000000" w:rsidRPr="00000000" w14:paraId="0000002E">
      <w:pPr>
        <w:spacing w:after="0" w:before="0" w:lineRule="auto"/>
        <w:jc w:val="both"/>
        <w:rPr>
          <w:b w:val="1"/>
          <w:bCs w:val="1"/>
        </w:rPr>
      </w:pPr>
      <w:r w:rsidDel="00000000" w:rsidR="00000000" w:rsidRPr="00000000">
        <w:rPr>
          <w:rtl w:val="0"/>
        </w:rPr>
        <w:t xml:space="preserve">Value excluding VAT: </w:t>
      </w:r>
      <w:r w:rsidDel="00000000" w:rsidR="00000000" w:rsidRPr="00000000">
        <w:rPr>
          <w:b w:val="1"/>
          <w:bCs w:val="1"/>
          <w:rtl w:val="0"/>
        </w:rPr>
        <w:t xml:space="preserve">39,669.42</w:t>
      </w:r>
      <w:r w:rsidDel="00000000" w:rsidR="00000000" w:rsidRPr="00000000">
        <w:rPr>
          <w:rtl w:val="0"/>
        </w:rPr>
        <w:t xml:space="preserve">   Currency: </w:t>
      </w:r>
      <w:r w:rsidDel="00000000" w:rsidR="00000000" w:rsidRPr="00000000">
        <w:rPr>
          <w:b w:val="1"/>
          <w:bCs w:val="1"/>
          <w:rtl w:val="0"/>
        </w:rPr>
        <w:t xml:space="preserve">EUR</w:t>
      </w:r>
    </w:p>
    <w:p w:rsidR="00000000" w:rsidDel="00000000" w:rsidP="00000000" w:rsidRDefault="00000000" w:rsidRPr="00000000" w14:paraId="0000002F">
      <w:pPr>
        <w:spacing w:after="0" w:before="0" w:lineRule="auto"/>
        <w:jc w:val="both"/>
        <w:rPr>
          <w:b w:val="1"/>
          <w:bCs w:val="1"/>
        </w:rPr>
      </w:pPr>
      <w:r w:rsidDel="00000000" w:rsidR="00000000" w:rsidRPr="00000000">
        <w:rPr>
          <w:b w:val="1"/>
          <w:bCs w:val="1"/>
          <w:rtl w:val="0"/>
        </w:rPr>
        <w:t xml:space="preserve">5.1.6. General information  </w:t>
      </w:r>
    </w:p>
    <w:p w:rsidR="00000000" w:rsidDel="00000000" w:rsidP="00000000" w:rsidRDefault="00000000" w:rsidRPr="00000000" w14:paraId="00000030">
      <w:pPr>
        <w:spacing w:after="0" w:before="0" w:lineRule="auto"/>
        <w:jc w:val="both"/>
        <w:rPr/>
      </w:pPr>
      <w:r w:rsidDel="00000000" w:rsidR="00000000" w:rsidRPr="00000000">
        <w:rPr>
          <w:i w:val="1"/>
          <w:iCs w:val="1"/>
          <w:rtl w:val="0"/>
        </w:rPr>
        <w:t xml:space="preserve">Reserved participation: </w:t>
      </w:r>
      <w:r w:rsidDel="00000000" w:rsidR="00000000" w:rsidRPr="00000000">
        <w:rPr>
          <w:rtl w:val="0"/>
        </w:rPr>
        <w:t xml:space="preserve">none.</w:t>
      </w:r>
    </w:p>
    <w:p w:rsidR="00000000" w:rsidDel="00000000" w:rsidP="00000000" w:rsidRDefault="00000000" w:rsidRPr="00000000" w14:paraId="00000031">
      <w:pPr>
        <w:spacing w:after="0" w:before="0" w:lineRule="auto"/>
        <w:jc w:val="both"/>
        <w:rPr>
          <w:i w:val="1"/>
          <w:iCs w:val="1"/>
        </w:rPr>
      </w:pPr>
      <w:r w:rsidDel="00000000" w:rsidR="00000000" w:rsidRPr="00000000">
        <w:rPr>
          <w:i w:val="1"/>
          <w:iCs w:val="1"/>
          <w:rtl w:val="0"/>
        </w:rPr>
        <w:t xml:space="preserve">Procurement Project fully financed with EU Funds.</w:t>
      </w:r>
    </w:p>
    <w:p w:rsidR="00000000" w:rsidDel="00000000" w:rsidP="00000000" w:rsidRDefault="00000000" w:rsidRPr="00000000" w14:paraId="00000032">
      <w:pPr>
        <w:spacing w:after="0" w:before="0" w:lineRule="auto"/>
        <w:jc w:val="both"/>
        <w:rPr>
          <w:i w:val="1"/>
          <w:iCs w:val="1"/>
        </w:rPr>
      </w:pPr>
      <w:r w:rsidDel="00000000" w:rsidR="00000000" w:rsidRPr="00000000">
        <w:rPr>
          <w:rtl w:val="0"/>
        </w:rPr>
      </w:r>
    </w:p>
    <w:p w:rsidR="00000000" w:rsidDel="00000000" w:rsidP="00000000" w:rsidRDefault="00000000" w:rsidRPr="00000000" w14:paraId="00000033">
      <w:pPr>
        <w:spacing w:after="0" w:before="0" w:lineRule="auto"/>
        <w:jc w:val="both"/>
        <w:rPr>
          <w:i w:val="1"/>
          <w:iCs w:val="1"/>
        </w:rPr>
      </w:pPr>
      <w:r w:rsidDel="00000000" w:rsidR="00000000" w:rsidRPr="00000000">
        <w:rPr>
          <w:rtl w:val="0"/>
        </w:rPr>
      </w:r>
    </w:p>
    <w:p w:rsidR="00000000" w:rsidDel="00000000" w:rsidP="00000000" w:rsidRDefault="00000000" w:rsidRPr="00000000" w14:paraId="00000034">
      <w:pPr>
        <w:spacing w:after="0" w:before="0" w:lineRule="auto"/>
        <w:jc w:val="both"/>
        <w:rPr>
          <w:i w:val="1"/>
          <w:iCs w:val="1"/>
        </w:rPr>
      </w:pPr>
      <w:r w:rsidDel="00000000" w:rsidR="00000000" w:rsidRPr="00000000">
        <w:rPr>
          <w:rtl w:val="0"/>
        </w:rPr>
      </w:r>
    </w:p>
    <w:p w:rsidR="00000000" w:rsidDel="00000000" w:rsidP="00000000" w:rsidRDefault="00000000" w:rsidRPr="00000000" w14:paraId="00000035">
      <w:pPr>
        <w:spacing w:after="0" w:before="0" w:lineRule="auto"/>
        <w:jc w:val="both"/>
        <w:rPr>
          <w:b w:val="1"/>
          <w:bCs w:val="1"/>
        </w:rPr>
      </w:pPr>
      <w:r w:rsidDel="00000000" w:rsidR="00000000" w:rsidRPr="00000000">
        <w:rPr>
          <w:b w:val="1"/>
          <w:bCs w:val="1"/>
          <w:rtl w:val="0"/>
        </w:rPr>
        <w:t xml:space="preserve">5.1.9. Selection criteria</w:t>
      </w:r>
    </w:p>
    <w:p w:rsidR="00000000" w:rsidDel="00000000" w:rsidP="00000000" w:rsidRDefault="00000000" w:rsidRPr="00000000" w14:paraId="00000036">
      <w:pPr>
        <w:spacing w:after="0" w:before="0" w:lineRule="auto"/>
        <w:jc w:val="both"/>
        <w:rPr/>
      </w:pPr>
      <w:r w:rsidDel="00000000" w:rsidR="00000000" w:rsidRPr="00000000">
        <w:rPr>
          <w:rtl w:val="0"/>
        </w:rPr>
        <w:t xml:space="preserve">The following selection criteria will be applied to candidates. In the case of applications / tenders submitted by a consortium, these selection criteria will be applied to the consortium as a whole unless specified otherwise. The selection criteria will not be applied to natural persons and single-member companies when they are sub-contractors.</w:t>
      </w:r>
    </w:p>
    <w:p w:rsidR="00000000" w:rsidDel="00000000" w:rsidP="00000000" w:rsidRDefault="00000000" w:rsidRPr="00000000" w14:paraId="00000037">
      <w:pPr>
        <w:numPr>
          <w:ilvl w:val="0"/>
          <w:numId w:val="2"/>
        </w:numPr>
        <w:ind w:left="414.00000000000006" w:hanging="284.00000000000006"/>
        <w:jc w:val="both"/>
        <w:rPr/>
      </w:pPr>
      <w:r w:rsidDel="00000000" w:rsidR="00000000" w:rsidRPr="00000000">
        <w:rPr>
          <w:b w:val="1"/>
          <w:bCs w:val="1"/>
          <w:sz w:val="22"/>
          <w:szCs w:val="22"/>
          <w:u w:val="single"/>
          <w:rtl w:val="0"/>
        </w:rPr>
        <w:t xml:space="preserve">Economic and financial capacity of candidate</w:t>
      </w:r>
      <w:r w:rsidDel="00000000" w:rsidR="00000000" w:rsidRPr="00000000">
        <w:rPr>
          <w:b w:val="1"/>
          <w:bCs w:val="1"/>
          <w:sz w:val="22"/>
          <w:szCs w:val="22"/>
          <w:rtl w:val="0"/>
        </w:rPr>
        <w:t xml:space="preserve"> (</w:t>
      </w:r>
      <w:r w:rsidDel="00000000" w:rsidR="00000000" w:rsidRPr="00000000">
        <w:rPr>
          <w:sz w:val="22"/>
          <w:szCs w:val="22"/>
          <w:rtl w:val="0"/>
        </w:rPr>
        <w:t xml:space="preserve">based on item 3 of the application / tender form). In case of a candidate being a public body, equivalent information should be provided. The reference period which will be taken into account will be the last three years for which accounts have been closed.</w:t>
      </w:r>
    </w:p>
    <w:p w:rsidR="00000000" w:rsidDel="00000000" w:rsidP="00000000" w:rsidRDefault="00000000" w:rsidRPr="00000000" w14:paraId="00000038">
      <w:pPr>
        <w:numPr>
          <w:ilvl w:val="1"/>
          <w:numId w:val="2"/>
        </w:numPr>
        <w:ind w:left="1210" w:hanging="360"/>
        <w:jc w:val="both"/>
        <w:rPr/>
      </w:pPr>
      <w:r w:rsidDel="00000000" w:rsidR="00000000" w:rsidRPr="00000000">
        <w:rPr>
          <w:b w:val="1"/>
          <w:bCs w:val="1"/>
          <w:sz w:val="22"/>
          <w:szCs w:val="22"/>
          <w:rtl w:val="0"/>
        </w:rPr>
        <w:t xml:space="preserve">Average annual turnover</w:t>
      </w:r>
    </w:p>
    <w:p w:rsidR="00000000" w:rsidDel="00000000" w:rsidP="00000000" w:rsidRDefault="00000000" w:rsidRPr="00000000" w14:paraId="00000039">
      <w:pPr>
        <w:spacing w:after="0" w:before="0" w:lineRule="auto"/>
        <w:ind w:left="720" w:firstLine="0"/>
        <w:jc w:val="both"/>
        <w:rPr>
          <w:sz w:val="22"/>
          <w:szCs w:val="22"/>
        </w:rPr>
      </w:pPr>
      <w:bookmarkStart w:colFirst="0" w:colLast="0" w:name="_fa5akp7iy2pf" w:id="1"/>
      <w:bookmarkEnd w:id="1"/>
      <w:r w:rsidDel="00000000" w:rsidR="00000000" w:rsidRPr="00000000">
        <w:rPr>
          <w:sz w:val="22"/>
          <w:szCs w:val="22"/>
          <w:rtl w:val="0"/>
        </w:rPr>
        <w:t xml:space="preserve">The tenderer’s average annual turnover of the </w:t>
      </w:r>
      <w:r w:rsidDel="00000000" w:rsidR="00000000" w:rsidRPr="00000000">
        <w:rPr>
          <w:b w:val="1"/>
          <w:bCs w:val="1"/>
          <w:sz w:val="22"/>
          <w:szCs w:val="22"/>
          <w:rtl w:val="0"/>
        </w:rPr>
        <w:t xml:space="preserve">last 3 financial years</w:t>
      </w:r>
      <w:r w:rsidDel="00000000" w:rsidR="00000000" w:rsidRPr="00000000">
        <w:rPr>
          <w:sz w:val="22"/>
          <w:szCs w:val="22"/>
          <w:rtl w:val="0"/>
        </w:rPr>
        <w:t xml:space="preserve"> for which </w:t>
      </w:r>
      <w:r w:rsidDel="00000000" w:rsidR="00000000" w:rsidRPr="00000000">
        <w:rPr>
          <w:b w:val="1"/>
          <w:bCs w:val="1"/>
          <w:sz w:val="22"/>
          <w:szCs w:val="22"/>
          <w:rtl w:val="0"/>
        </w:rPr>
        <w:t xml:space="preserve">the accounts have been closed </w:t>
      </w:r>
      <w:r w:rsidDel="00000000" w:rsidR="00000000" w:rsidRPr="00000000">
        <w:rPr>
          <w:sz w:val="22"/>
          <w:szCs w:val="22"/>
          <w:rtl w:val="0"/>
        </w:rPr>
        <w:t xml:space="preserve">must be not less than </w:t>
      </w:r>
      <w:r w:rsidDel="00000000" w:rsidR="00000000" w:rsidRPr="00000000">
        <w:rPr>
          <w:b w:val="1"/>
          <w:bCs w:val="1"/>
          <w:sz w:val="22"/>
          <w:szCs w:val="22"/>
          <w:rtl w:val="0"/>
        </w:rPr>
        <w:t xml:space="preserve">50.000,00 EUR</w:t>
      </w:r>
      <w:r w:rsidDel="00000000" w:rsidR="00000000" w:rsidRPr="00000000">
        <w:rPr>
          <w:sz w:val="22"/>
          <w:szCs w:val="22"/>
          <w:rtl w:val="0"/>
        </w:rPr>
        <w:t xml:space="preserve">; </w:t>
      </w:r>
    </w:p>
    <w:p w:rsidR="00000000" w:rsidDel="00000000" w:rsidP="00000000" w:rsidRDefault="00000000" w:rsidRPr="00000000" w14:paraId="0000003A">
      <w:pPr>
        <w:numPr>
          <w:ilvl w:val="0"/>
          <w:numId w:val="2"/>
        </w:numPr>
        <w:ind w:left="490" w:hanging="360"/>
        <w:jc w:val="both"/>
        <w:rPr>
          <w:sz w:val="22"/>
          <w:szCs w:val="22"/>
        </w:rPr>
      </w:pPr>
      <w:r w:rsidDel="00000000" w:rsidR="00000000" w:rsidRPr="00000000">
        <w:rPr>
          <w:b w:val="1"/>
          <w:bCs w:val="1"/>
          <w:sz w:val="22"/>
          <w:szCs w:val="22"/>
          <w:u w:val="single"/>
          <w:rtl w:val="0"/>
        </w:rPr>
        <w:t xml:space="preserve">Professional capacity of candidate</w:t>
      </w:r>
      <w:r w:rsidDel="00000000" w:rsidR="00000000" w:rsidRPr="00000000">
        <w:rPr>
          <w:sz w:val="22"/>
          <w:szCs w:val="22"/>
          <w:rtl w:val="0"/>
        </w:rPr>
        <w:t xml:space="preserve">. The reference period which will be taken into account must be aligned with the conditions laid out in the Terms of Reference</w:t>
      </w:r>
    </w:p>
    <w:p w:rsidR="00000000" w:rsidDel="00000000" w:rsidP="00000000" w:rsidRDefault="00000000" w:rsidRPr="00000000" w14:paraId="0000003B">
      <w:pPr>
        <w:numPr>
          <w:ilvl w:val="1"/>
          <w:numId w:val="2"/>
        </w:numPr>
        <w:ind w:left="1210" w:hanging="360"/>
        <w:jc w:val="both"/>
        <w:rPr>
          <w:sz w:val="22"/>
          <w:szCs w:val="22"/>
        </w:rPr>
      </w:pPr>
      <w:r w:rsidDel="00000000" w:rsidR="00000000" w:rsidRPr="00000000">
        <w:rPr>
          <w:b w:val="1"/>
          <w:bCs w:val="1"/>
          <w:sz w:val="22"/>
          <w:szCs w:val="22"/>
          <w:rtl w:val="0"/>
        </w:rPr>
        <w:t xml:space="preserve">Key experts have expertise detailed in the Terms of Reference.</w:t>
      </w:r>
    </w:p>
    <w:p w:rsidR="00000000" w:rsidDel="00000000" w:rsidP="00000000" w:rsidRDefault="00000000" w:rsidRPr="00000000" w14:paraId="0000003C">
      <w:pPr>
        <w:numPr>
          <w:ilvl w:val="0"/>
          <w:numId w:val="2"/>
        </w:numPr>
        <w:ind w:left="490" w:hanging="360"/>
        <w:jc w:val="both"/>
        <w:rPr>
          <w:sz w:val="22"/>
          <w:szCs w:val="22"/>
        </w:rPr>
      </w:pPr>
      <w:r w:rsidDel="00000000" w:rsidR="00000000" w:rsidRPr="00000000">
        <w:rPr>
          <w:b w:val="1"/>
          <w:bCs w:val="1"/>
          <w:sz w:val="22"/>
          <w:szCs w:val="22"/>
          <w:u w:val="single"/>
          <w:rtl w:val="0"/>
        </w:rPr>
        <w:t xml:space="preserve">Technical capacity of candidate </w:t>
      </w:r>
      <w:r w:rsidDel="00000000" w:rsidR="00000000" w:rsidRPr="00000000">
        <w:rPr>
          <w:sz w:val="22"/>
          <w:szCs w:val="22"/>
          <w:rtl w:val="0"/>
        </w:rPr>
        <w:t xml:space="preserve">The reference period which will be taken into account will be the last </w:t>
      </w:r>
      <w:r w:rsidDel="00000000" w:rsidR="00000000" w:rsidRPr="00000000">
        <w:rPr>
          <w:b w:val="1"/>
          <w:bCs w:val="1"/>
          <w:sz w:val="22"/>
          <w:szCs w:val="22"/>
          <w:rtl w:val="0"/>
        </w:rPr>
        <w:t xml:space="preserve">five</w:t>
      </w:r>
      <w:r w:rsidDel="00000000" w:rsidR="00000000" w:rsidRPr="00000000">
        <w:rPr>
          <w:sz w:val="22"/>
          <w:szCs w:val="22"/>
          <w:rtl w:val="0"/>
        </w:rPr>
        <w:t xml:space="preserve"> years from submission deadline.</w:t>
      </w:r>
    </w:p>
    <w:p w:rsidR="00000000" w:rsidDel="00000000" w:rsidP="00000000" w:rsidRDefault="00000000" w:rsidRPr="00000000" w14:paraId="0000003D">
      <w:pPr>
        <w:numPr>
          <w:ilvl w:val="1"/>
          <w:numId w:val="2"/>
        </w:numPr>
        <w:ind w:left="1210" w:hanging="360"/>
        <w:jc w:val="both"/>
        <w:rPr>
          <w:sz w:val="22"/>
          <w:szCs w:val="22"/>
        </w:rPr>
      </w:pPr>
      <w:r w:rsidDel="00000000" w:rsidR="00000000" w:rsidRPr="00000000">
        <w:rPr>
          <w:sz w:val="22"/>
          <w:szCs w:val="22"/>
          <w:rtl w:val="0"/>
        </w:rPr>
        <w:t xml:space="preserve">The candidate has completed similar </w:t>
      </w:r>
      <w:r w:rsidDel="00000000" w:rsidR="00000000" w:rsidRPr="00000000">
        <w:rPr>
          <w:b w:val="1"/>
          <w:bCs w:val="1"/>
          <w:sz w:val="22"/>
          <w:szCs w:val="22"/>
          <w:rtl w:val="0"/>
        </w:rPr>
        <w:t xml:space="preserve">services</w:t>
      </w:r>
      <w:r w:rsidDel="00000000" w:rsidR="00000000" w:rsidRPr="00000000">
        <w:rPr>
          <w:sz w:val="22"/>
          <w:szCs w:val="22"/>
          <w:rtl w:val="0"/>
        </w:rPr>
        <w:t xml:space="preserve"> under at least </w:t>
      </w:r>
      <w:r w:rsidDel="00000000" w:rsidR="00000000" w:rsidRPr="00000000">
        <w:rPr>
          <w:b w:val="1"/>
          <w:bCs w:val="1"/>
          <w:sz w:val="22"/>
          <w:szCs w:val="22"/>
          <w:rtl w:val="0"/>
        </w:rPr>
        <w:t xml:space="preserve">2</w:t>
      </w:r>
      <w:r w:rsidDel="00000000" w:rsidR="00000000" w:rsidRPr="00000000">
        <w:rPr>
          <w:sz w:val="22"/>
          <w:szCs w:val="22"/>
          <w:rtl w:val="0"/>
        </w:rPr>
        <w:t xml:space="preserve"> </w:t>
      </w:r>
      <w:r w:rsidDel="00000000" w:rsidR="00000000" w:rsidRPr="00000000">
        <w:rPr>
          <w:b w:val="1"/>
          <w:bCs w:val="1"/>
          <w:sz w:val="22"/>
          <w:szCs w:val="22"/>
          <w:rtl w:val="0"/>
        </w:rPr>
        <w:t xml:space="preserve">contracts </w:t>
      </w:r>
      <w:r w:rsidDel="00000000" w:rsidR="00000000" w:rsidRPr="00000000">
        <w:rPr>
          <w:sz w:val="22"/>
          <w:szCs w:val="22"/>
          <w:rtl w:val="0"/>
        </w:rPr>
        <w:t xml:space="preserve">implemented at any moment during the last </w:t>
      </w:r>
      <w:r w:rsidDel="00000000" w:rsidR="00000000" w:rsidRPr="00000000">
        <w:rPr>
          <w:b w:val="1"/>
          <w:bCs w:val="1"/>
          <w:sz w:val="22"/>
          <w:szCs w:val="22"/>
          <w:rtl w:val="0"/>
        </w:rPr>
        <w:t xml:space="preserve">four years</w:t>
      </w:r>
      <w:r w:rsidDel="00000000" w:rsidR="00000000" w:rsidRPr="00000000">
        <w:rPr>
          <w:sz w:val="22"/>
          <w:szCs w:val="22"/>
          <w:rtl w:val="0"/>
        </w:rPr>
        <w:t xml:space="preserve"> before submission deadline.</w:t>
      </w:r>
    </w:p>
    <w:p w:rsidR="00000000" w:rsidDel="00000000" w:rsidP="00000000" w:rsidRDefault="00000000" w:rsidRPr="00000000" w14:paraId="0000003E">
      <w:pPr>
        <w:numPr>
          <w:ilvl w:val="1"/>
          <w:numId w:val="1"/>
        </w:numPr>
        <w:spacing w:after="0" w:before="0" w:lineRule="auto"/>
        <w:ind w:left="2160" w:right="26" w:hanging="360"/>
        <w:jc w:val="both"/>
        <w:rPr>
          <w:sz w:val="22"/>
          <w:szCs w:val="22"/>
        </w:rPr>
      </w:pPr>
      <w:r w:rsidDel="00000000" w:rsidR="00000000" w:rsidRPr="00000000">
        <w:rPr>
          <w:sz w:val="22"/>
          <w:szCs w:val="22"/>
          <w:rtl w:val="0"/>
        </w:rPr>
        <w:t xml:space="preserve">For each contract,</w:t>
      </w:r>
      <w:r w:rsidDel="00000000" w:rsidR="00000000" w:rsidRPr="00000000">
        <w:rPr>
          <w:b w:val="1"/>
          <w:bCs w:val="1"/>
          <w:sz w:val="22"/>
          <w:szCs w:val="22"/>
          <w:rtl w:val="0"/>
        </w:rPr>
        <w:t xml:space="preserve"> </w:t>
      </w:r>
      <w:r w:rsidDel="00000000" w:rsidR="00000000" w:rsidRPr="00000000">
        <w:rPr>
          <w:sz w:val="22"/>
          <w:szCs w:val="22"/>
          <w:rtl w:val="0"/>
        </w:rPr>
        <w:t xml:space="preserve">the value of the </w:t>
      </w:r>
      <w:r w:rsidDel="00000000" w:rsidR="00000000" w:rsidRPr="00000000">
        <w:rPr>
          <w:b w:val="1"/>
          <w:bCs w:val="1"/>
          <w:sz w:val="22"/>
          <w:szCs w:val="22"/>
          <w:rtl w:val="0"/>
        </w:rPr>
        <w:t xml:space="preserve">service</w:t>
      </w:r>
      <w:r w:rsidDel="00000000" w:rsidR="00000000" w:rsidRPr="00000000">
        <w:rPr>
          <w:sz w:val="22"/>
          <w:szCs w:val="22"/>
          <w:rtl w:val="0"/>
        </w:rPr>
        <w:t xml:space="preserve"> completed must not be less than </w:t>
      </w:r>
      <w:r w:rsidDel="00000000" w:rsidR="00000000" w:rsidRPr="00000000">
        <w:rPr>
          <w:b w:val="1"/>
          <w:bCs w:val="1"/>
          <w:sz w:val="22"/>
          <w:szCs w:val="22"/>
          <w:rtl w:val="0"/>
        </w:rPr>
        <w:t xml:space="preserve">50.000,00</w:t>
      </w:r>
      <w:r w:rsidDel="00000000" w:rsidR="00000000" w:rsidRPr="00000000">
        <w:rPr>
          <w:rtl w:val="0"/>
        </w:rPr>
      </w:r>
    </w:p>
    <w:p w:rsidR="00000000" w:rsidDel="00000000" w:rsidP="00000000" w:rsidRDefault="00000000" w:rsidRPr="00000000" w14:paraId="0000003F">
      <w:pPr>
        <w:numPr>
          <w:ilvl w:val="1"/>
          <w:numId w:val="1"/>
        </w:numPr>
        <w:spacing w:after="0" w:before="0" w:lineRule="auto"/>
        <w:ind w:left="2160" w:right="26" w:hanging="360"/>
        <w:jc w:val="both"/>
        <w:rPr>
          <w:sz w:val="22"/>
          <w:szCs w:val="22"/>
        </w:rPr>
      </w:pPr>
      <w:r w:rsidDel="00000000" w:rsidR="00000000" w:rsidRPr="00000000">
        <w:rPr>
          <w:sz w:val="22"/>
          <w:szCs w:val="22"/>
          <w:rtl w:val="0"/>
        </w:rPr>
        <w:t xml:space="preserve">The completed services are in the domain of </w:t>
      </w:r>
      <w:r w:rsidDel="00000000" w:rsidR="00000000" w:rsidRPr="00000000">
        <w:rPr>
          <w:b w:val="1"/>
          <w:bCs w:val="1"/>
          <w:sz w:val="22"/>
          <w:szCs w:val="22"/>
          <w:rtl w:val="0"/>
        </w:rPr>
        <w:t xml:space="preserve">relevant for defined scope of work in Terms of Reference.</w:t>
      </w:r>
      <w:r w:rsidDel="00000000" w:rsidR="00000000" w:rsidRPr="00000000">
        <w:rPr>
          <w:rtl w:val="0"/>
        </w:rPr>
      </w:r>
    </w:p>
    <w:p w:rsidR="00000000" w:rsidDel="00000000" w:rsidP="00000000" w:rsidRDefault="00000000" w:rsidRPr="00000000" w14:paraId="00000040">
      <w:pPr>
        <w:widowControl w:val="1"/>
        <w:spacing w:after="0" w:before="0" w:lineRule="auto"/>
        <w:ind w:left="0" w:firstLine="0"/>
        <w:jc w:val="both"/>
        <w:rPr>
          <w:sz w:val="22"/>
          <w:szCs w:val="22"/>
        </w:rPr>
      </w:pPr>
      <w:r w:rsidDel="00000000" w:rsidR="00000000" w:rsidRPr="00000000">
        <w:rPr>
          <w:sz w:val="22"/>
          <w:szCs w:val="22"/>
          <w:rtl w:val="0"/>
        </w:rPr>
        <w:t xml:space="preserve">All selection criteria that apply to public bodies are also applied in case of natural persons.</w:t>
      </w:r>
    </w:p>
    <w:p w:rsidR="00000000" w:rsidDel="00000000" w:rsidP="00000000" w:rsidRDefault="00000000" w:rsidRPr="00000000" w14:paraId="00000041">
      <w:pPr>
        <w:spacing w:after="0" w:before="0" w:lineRule="auto"/>
        <w:jc w:val="both"/>
        <w:rPr>
          <w:sz w:val="22"/>
          <w:szCs w:val="22"/>
        </w:rPr>
      </w:pPr>
      <w:r w:rsidDel="00000000" w:rsidR="00000000" w:rsidRPr="00000000">
        <w:rPr>
          <w:rtl w:val="0"/>
        </w:rPr>
      </w:r>
    </w:p>
    <w:p w:rsidR="00000000" w:rsidDel="00000000" w:rsidP="00000000" w:rsidRDefault="00000000" w:rsidRPr="00000000" w14:paraId="00000042">
      <w:pPr>
        <w:spacing w:after="0" w:before="0" w:lineRule="auto"/>
        <w:jc w:val="both"/>
        <w:rPr>
          <w:b w:val="1"/>
          <w:bCs w:val="1"/>
        </w:rPr>
      </w:pPr>
      <w:r w:rsidDel="00000000" w:rsidR="00000000" w:rsidRPr="00000000">
        <w:rPr>
          <w:b w:val="1"/>
          <w:bCs w:val="1"/>
          <w:rtl w:val="0"/>
        </w:rPr>
        <w:t xml:space="preserve">5.1.10. Award criteria</w:t>
      </w:r>
    </w:p>
    <w:p w:rsidR="00000000" w:rsidDel="00000000" w:rsidP="00000000" w:rsidRDefault="00000000" w:rsidRPr="00000000" w14:paraId="00000043">
      <w:pPr>
        <w:spacing w:after="0" w:before="0" w:lineRule="auto"/>
        <w:ind w:left="360" w:right="1" w:firstLine="0"/>
        <w:jc w:val="both"/>
        <w:rPr>
          <w:sz w:val="22"/>
          <w:szCs w:val="22"/>
        </w:rPr>
      </w:pPr>
      <w:r w:rsidDel="00000000" w:rsidR="00000000" w:rsidRPr="00000000">
        <w:rPr>
          <w:sz w:val="22"/>
          <w:szCs w:val="22"/>
          <w:rtl w:val="0"/>
        </w:rPr>
        <w:t xml:space="preserve">Best price-quality ratio.</w:t>
      </w:r>
    </w:p>
    <w:tbl>
      <w:tblPr>
        <w:tblStyle w:val="Table1"/>
        <w:tblW w:w="894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4020"/>
        <w:gridCol w:w="2760"/>
        <w:gridCol w:w="1095"/>
        <w:tblGridChange w:id="0">
          <w:tblGrid>
            <w:gridCol w:w="1065"/>
            <w:gridCol w:w="4020"/>
            <w:gridCol w:w="2760"/>
            <w:gridCol w:w="1095"/>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44">
            <w:pPr>
              <w:spacing w:after="0" w:before="0" w:lineRule="auto"/>
              <w:jc w:val="center"/>
              <w:rPr>
                <w:b w:val="1"/>
                <w:bCs w:val="1"/>
                <w:sz w:val="22"/>
                <w:szCs w:val="22"/>
              </w:rPr>
            </w:pPr>
            <w:r w:rsidDel="00000000" w:rsidR="00000000" w:rsidRPr="00000000">
              <w:rPr>
                <w:b w:val="1"/>
                <w:bCs w:val="1"/>
                <w:sz w:val="20"/>
                <w:szCs w:val="20"/>
                <w:rtl w:val="0"/>
              </w:rPr>
              <w:t xml:space="preserve">Type</w:t>
            </w:r>
            <w:r w:rsidDel="00000000" w:rsidR="00000000" w:rsidRPr="00000000">
              <w:rPr>
                <w:rtl w:val="0"/>
              </w:rPr>
            </w:r>
          </w:p>
        </w:tc>
        <w:tc>
          <w:tcPr>
            <w:shd w:fill="f3f3f3" w:val="clear"/>
            <w:tcMar>
              <w:top w:w="100.0" w:type="dxa"/>
              <w:left w:w="100.0" w:type="dxa"/>
              <w:bottom w:w="100.0" w:type="dxa"/>
              <w:right w:w="100.0" w:type="dxa"/>
            </w:tcMar>
            <w:vAlign w:val="top"/>
          </w:tcPr>
          <w:p w:rsidR="00000000" w:rsidDel="00000000" w:rsidP="00000000" w:rsidRDefault="00000000" w:rsidRPr="00000000" w14:paraId="00000045">
            <w:pPr>
              <w:spacing w:after="0" w:before="0" w:lineRule="auto"/>
              <w:jc w:val="center"/>
              <w:rPr>
                <w:b w:val="1"/>
                <w:bCs w:val="1"/>
                <w:sz w:val="22"/>
                <w:szCs w:val="22"/>
              </w:rPr>
            </w:pPr>
            <w:r w:rsidDel="00000000" w:rsidR="00000000" w:rsidRPr="00000000">
              <w:rPr>
                <w:b w:val="1"/>
                <w:bCs w:val="1"/>
                <w:sz w:val="22"/>
                <w:szCs w:val="22"/>
                <w:rtl w:val="0"/>
              </w:rPr>
              <w:t xml:space="preserve">Description</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6">
            <w:pPr>
              <w:spacing w:after="0" w:before="0" w:lineRule="auto"/>
              <w:jc w:val="center"/>
              <w:rPr>
                <w:b w:val="1"/>
                <w:bCs w:val="1"/>
                <w:sz w:val="22"/>
                <w:szCs w:val="22"/>
              </w:rPr>
            </w:pPr>
            <w:r w:rsidDel="00000000" w:rsidR="00000000" w:rsidRPr="00000000">
              <w:rPr>
                <w:b w:val="1"/>
                <w:bCs w:val="1"/>
                <w:sz w:val="22"/>
                <w:szCs w:val="22"/>
                <w:rtl w:val="0"/>
              </w:rPr>
              <w:t xml:space="preserve">Formula</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47">
            <w:pPr>
              <w:spacing w:after="0" w:before="0" w:lineRule="auto"/>
              <w:jc w:val="center"/>
              <w:rPr>
                <w:b w:val="1"/>
                <w:bCs w:val="1"/>
                <w:sz w:val="22"/>
                <w:szCs w:val="22"/>
              </w:rPr>
            </w:pPr>
            <w:r w:rsidDel="00000000" w:rsidR="00000000" w:rsidRPr="00000000">
              <w:rPr>
                <w:b w:val="1"/>
                <w:bCs w:val="1"/>
                <w:sz w:val="22"/>
                <w:szCs w:val="22"/>
                <w:rtl w:val="0"/>
              </w:rPr>
              <w:t xml:space="preserve">Weight</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48">
            <w:pPr>
              <w:spacing w:after="0" w:before="0" w:lineRule="auto"/>
              <w:jc w:val="both"/>
              <w:rPr>
                <w:sz w:val="20"/>
                <w:szCs w:val="20"/>
              </w:rPr>
            </w:pPr>
            <w:r w:rsidDel="00000000" w:rsidR="00000000" w:rsidRPr="00000000">
              <w:rPr>
                <w:b w:val="1"/>
                <w:bCs w:val="1"/>
                <w:sz w:val="20"/>
                <w:szCs w:val="20"/>
                <w:rtl w:val="0"/>
              </w:rPr>
              <w:t xml:space="preserve">Quality</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9">
            <w:pPr>
              <w:spacing w:after="0" w:before="0" w:lineRule="auto"/>
              <w:rPr>
                <w:sz w:val="20"/>
                <w:szCs w:val="20"/>
              </w:rPr>
            </w:pPr>
            <w:r w:rsidDel="00000000" w:rsidR="00000000" w:rsidRPr="00000000">
              <w:rPr>
                <w:b w:val="1"/>
                <w:bCs w:val="1"/>
                <w:sz w:val="20"/>
                <w:szCs w:val="20"/>
                <w:rtl w:val="0"/>
              </w:rPr>
              <w:t xml:space="preserve">Number of eligible contracts demonstrating technical experience.</w:t>
            </w:r>
            <w:r w:rsidDel="00000000" w:rsidR="00000000" w:rsidRPr="00000000">
              <w:rPr>
                <w:sz w:val="20"/>
                <w:szCs w:val="20"/>
                <w:rtl w:val="0"/>
              </w:rPr>
              <w:t xml:space="preserve"> Only contracts that comply with the minimum technical capacity requirements (Section B.3 of Annex II – Terms of Reference) and selection criteria will be taken into account. The tenderer with the highest number of eligible contracts receives the maximum score.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A">
            <w:pPr>
              <w:spacing w:after="0" w:before="0" w:lineRule="auto"/>
              <w:rPr>
                <w:i w:val="1"/>
                <w:iCs w:val="1"/>
                <w:sz w:val="20"/>
                <w:szCs w:val="20"/>
              </w:rPr>
            </w:pPr>
            <w:r w:rsidDel="00000000" w:rsidR="00000000" w:rsidRPr="00000000">
              <w:rPr>
                <w:i w:val="1"/>
                <w:iCs w:val="1"/>
                <w:sz w:val="20"/>
                <w:szCs w:val="20"/>
                <w:rtl w:val="0"/>
              </w:rPr>
              <w:t xml:space="preserve">Number of eligible contracts submitted by the tenderer / Highest number of eligible contracts submitted by any tenderer) × 100.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spacing w:after="0" w:before="0" w:lineRule="auto"/>
              <w:jc w:val="center"/>
              <w:rPr>
                <w:b w:val="1"/>
                <w:bCs w:val="1"/>
                <w:sz w:val="20"/>
                <w:szCs w:val="20"/>
              </w:rPr>
            </w:pPr>
            <w:r w:rsidDel="00000000" w:rsidR="00000000" w:rsidRPr="00000000">
              <w:rPr>
                <w:b w:val="1"/>
                <w:bCs w:val="1"/>
                <w:sz w:val="20"/>
                <w:szCs w:val="20"/>
                <w:rtl w:val="0"/>
              </w:rPr>
              <w:t xml:space="preserve">80%</w:t>
            </w:r>
          </w:p>
        </w:tc>
      </w:tr>
      <w:tr>
        <w:trPr>
          <w:cantSplit w:val="0"/>
          <w:tblHeader w:val="0"/>
        </w:trPr>
        <w:tc>
          <w:tcPr>
            <w:shd w:fill="f3f3f3" w:val="clear"/>
            <w:tcMar>
              <w:top w:w="100.0" w:type="dxa"/>
              <w:left w:w="100.0" w:type="dxa"/>
              <w:bottom w:w="100.0" w:type="dxa"/>
              <w:right w:w="100.0" w:type="dxa"/>
            </w:tcMar>
            <w:vAlign w:val="center"/>
          </w:tcPr>
          <w:p w:rsidR="00000000" w:rsidDel="00000000" w:rsidP="00000000" w:rsidRDefault="00000000" w:rsidRPr="00000000" w14:paraId="0000004C">
            <w:pPr>
              <w:spacing w:after="0" w:before="0" w:lineRule="auto"/>
              <w:jc w:val="both"/>
              <w:rPr>
                <w:sz w:val="20"/>
                <w:szCs w:val="20"/>
              </w:rPr>
            </w:pPr>
            <w:r w:rsidDel="00000000" w:rsidR="00000000" w:rsidRPr="00000000">
              <w:rPr>
                <w:b w:val="1"/>
                <w:bCs w:val="1"/>
                <w:sz w:val="20"/>
                <w:szCs w:val="20"/>
                <w:rtl w:val="0"/>
              </w:rPr>
              <w:t xml:space="preserve">Price</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D">
            <w:pPr>
              <w:spacing w:after="0" w:before="0" w:lineRule="auto"/>
              <w:rPr>
                <w:sz w:val="20"/>
                <w:szCs w:val="20"/>
              </w:rPr>
            </w:pPr>
            <w:r w:rsidDel="00000000" w:rsidR="00000000" w:rsidRPr="00000000">
              <w:rPr>
                <w:b w:val="1"/>
                <w:bCs w:val="1"/>
                <w:sz w:val="20"/>
                <w:szCs w:val="20"/>
                <w:rtl w:val="0"/>
              </w:rPr>
              <w:t xml:space="preserve">Financial offer evaluated based on the lowest price </w:t>
            </w:r>
            <w:r w:rsidDel="00000000" w:rsidR="00000000" w:rsidRPr="00000000">
              <w:rPr>
                <w:sz w:val="20"/>
                <w:szCs w:val="20"/>
                <w:rtl w:val="0"/>
              </w:rPr>
              <w:t xml:space="preserve">received among compliant tenders. The lowest price receives the maximum score.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E">
            <w:pPr>
              <w:spacing w:after="0" w:before="0" w:lineRule="auto"/>
              <w:rPr>
                <w:i w:val="1"/>
                <w:iCs w:val="1"/>
                <w:sz w:val="20"/>
                <w:szCs w:val="20"/>
              </w:rPr>
            </w:pPr>
            <w:r w:rsidDel="00000000" w:rsidR="00000000" w:rsidRPr="00000000">
              <w:rPr>
                <w:i w:val="1"/>
                <w:iCs w:val="1"/>
                <w:sz w:val="20"/>
                <w:szCs w:val="20"/>
                <w:rtl w:val="0"/>
              </w:rPr>
              <w:t xml:space="preserve">(Lowest submitted price / Price offered by the tenderer) × 100.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F">
            <w:pPr>
              <w:spacing w:after="0" w:before="0" w:lineRule="auto"/>
              <w:jc w:val="center"/>
              <w:rPr>
                <w:b w:val="1"/>
                <w:bCs w:val="1"/>
                <w:sz w:val="20"/>
                <w:szCs w:val="20"/>
              </w:rPr>
            </w:pPr>
            <w:r w:rsidDel="00000000" w:rsidR="00000000" w:rsidRPr="00000000">
              <w:rPr>
                <w:b w:val="1"/>
                <w:bCs w:val="1"/>
                <w:sz w:val="20"/>
                <w:szCs w:val="20"/>
                <w:rtl w:val="0"/>
              </w:rPr>
              <w:t xml:space="preserve">20%</w:t>
            </w:r>
          </w:p>
        </w:tc>
      </w:tr>
    </w:tbl>
    <w:p w:rsidR="00000000" w:rsidDel="00000000" w:rsidP="00000000" w:rsidRDefault="00000000" w:rsidRPr="00000000" w14:paraId="00000050">
      <w:pPr>
        <w:spacing w:after="0" w:before="0" w:lineRule="auto"/>
        <w:jc w:val="both"/>
        <w:rPr>
          <w:highlight w:val="yellow"/>
        </w:rPr>
      </w:pPr>
      <w:r w:rsidDel="00000000" w:rsidR="00000000" w:rsidRPr="00000000">
        <w:rPr>
          <w:rtl w:val="0"/>
        </w:rPr>
      </w:r>
    </w:p>
    <w:p w:rsidR="00000000" w:rsidDel="00000000" w:rsidP="00000000" w:rsidRDefault="00000000" w:rsidRPr="00000000" w14:paraId="00000051">
      <w:pPr>
        <w:spacing w:after="0" w:before="0" w:lineRule="auto"/>
        <w:jc w:val="both"/>
        <w:rPr>
          <w:highlight w:val="yellow"/>
        </w:rPr>
      </w:pPr>
      <w:r w:rsidDel="00000000" w:rsidR="00000000" w:rsidRPr="00000000">
        <w:rPr>
          <w:rtl w:val="0"/>
        </w:rPr>
      </w:r>
    </w:p>
    <w:p w:rsidR="00000000" w:rsidDel="00000000" w:rsidP="00000000" w:rsidRDefault="00000000" w:rsidRPr="00000000" w14:paraId="00000052">
      <w:pPr>
        <w:spacing w:after="0" w:before="0" w:lineRule="auto"/>
        <w:jc w:val="both"/>
        <w:rPr>
          <w:b w:val="1"/>
          <w:bCs w:val="1"/>
        </w:rPr>
      </w:pPr>
      <w:r w:rsidDel="00000000" w:rsidR="00000000" w:rsidRPr="00000000">
        <w:rPr>
          <w:b w:val="1"/>
          <w:bCs w:val="1"/>
          <w:rtl w:val="0"/>
        </w:rPr>
        <w:t xml:space="preserve">5.1.11. Procurement documents</w:t>
      </w:r>
    </w:p>
    <w:p w:rsidR="00000000" w:rsidDel="00000000" w:rsidP="00000000" w:rsidRDefault="00000000" w:rsidRPr="00000000" w14:paraId="00000053">
      <w:pPr>
        <w:spacing w:after="0" w:before="0" w:lineRule="auto"/>
        <w:jc w:val="both"/>
        <w:rPr>
          <w:b w:val="1"/>
          <w:bCs w:val="1"/>
          <w:u w:val="single"/>
        </w:rPr>
      </w:pPr>
      <w:r w:rsidDel="00000000" w:rsidR="00000000" w:rsidRPr="00000000">
        <w:rPr>
          <w:i w:val="1"/>
          <w:iCs w:val="1"/>
          <w:rtl w:val="0"/>
        </w:rPr>
        <w:t xml:space="preserve">Languages in which the procurement documents are officially available: English and Montenegrin</w:t>
      </w:r>
      <w:r w:rsidDel="00000000" w:rsidR="00000000" w:rsidRPr="00000000">
        <w:rPr>
          <w:rtl w:val="0"/>
        </w:rPr>
      </w:r>
    </w:p>
    <w:p w:rsidR="00000000" w:rsidDel="00000000" w:rsidP="00000000" w:rsidRDefault="00000000" w:rsidRPr="00000000" w14:paraId="00000054">
      <w:pPr>
        <w:keepNext w:val="1"/>
        <w:spacing w:after="0" w:before="0" w:lineRule="auto"/>
        <w:jc w:val="both"/>
        <w:rPr>
          <w:i w:val="1"/>
          <w:iCs w:val="1"/>
        </w:rPr>
      </w:pPr>
      <w:r w:rsidDel="00000000" w:rsidR="00000000" w:rsidRPr="00000000">
        <w:rPr>
          <w:b w:val="1"/>
          <w:bCs w:val="1"/>
          <w:rtl w:val="0"/>
        </w:rPr>
        <w:t xml:space="preserve">5.1.12. Terms of procurement</w:t>
      </w:r>
      <w:r w:rsidDel="00000000" w:rsidR="00000000" w:rsidRPr="00000000">
        <w:rPr>
          <w:rtl w:val="0"/>
        </w:rPr>
      </w:r>
    </w:p>
    <w:p w:rsidR="00000000" w:rsidDel="00000000" w:rsidP="00000000" w:rsidRDefault="00000000" w:rsidRPr="00000000" w14:paraId="00000055">
      <w:pPr>
        <w:widowControl w:val="1"/>
        <w:shd w:fill="ffffff" w:val="clear"/>
        <w:spacing w:after="0" w:before="0" w:lineRule="auto"/>
        <w:jc w:val="both"/>
        <w:rPr>
          <w:i w:val="1"/>
          <w:iCs w:val="1"/>
          <w:highlight w:val="lightGray"/>
        </w:rPr>
      </w:pPr>
      <w:r w:rsidDel="00000000" w:rsidR="00000000" w:rsidRPr="00000000">
        <w:rPr>
          <w:i w:val="1"/>
          <w:iCs w:val="1"/>
          <w:rtl w:val="0"/>
        </w:rPr>
        <w:t xml:space="preserve">Terms of submission: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6">
      <w:pPr>
        <w:widowControl w:val="1"/>
        <w:shd w:fill="ffffff" w:val="clear"/>
        <w:spacing w:after="0" w:before="0" w:lineRule="auto"/>
        <w:jc w:val="both"/>
        <w:rPr>
          <w:i w:val="1"/>
          <w:iCs w:val="1"/>
          <w:highlight w:val="lightGray"/>
        </w:rPr>
      </w:pPr>
      <w:r w:rsidDel="00000000" w:rsidR="00000000" w:rsidRPr="00000000">
        <w:rPr>
          <w:i w:val="1"/>
          <w:iCs w:val="1"/>
          <w:rtl w:val="0"/>
        </w:rPr>
        <w:t xml:space="preserve">Electronic submission: </w:t>
      </w:r>
      <w:r w:rsidDel="00000000" w:rsidR="00000000" w:rsidRPr="00000000">
        <w:rPr>
          <w:b w:val="0"/>
          <w:bCs w:val="0"/>
          <w:rtl w:val="0"/>
        </w:rPr>
        <w:t xml:space="preserve">Not allowed</w:t>
      </w:r>
      <w:r w:rsidDel="00000000" w:rsidR="00000000" w:rsidRPr="00000000">
        <w:rPr>
          <w:rtl w:val="0"/>
        </w:rPr>
      </w:r>
    </w:p>
    <w:p w:rsidR="00000000" w:rsidDel="00000000" w:rsidP="00000000" w:rsidRDefault="00000000" w:rsidRPr="00000000" w14:paraId="00000057">
      <w:pPr>
        <w:widowControl w:val="1"/>
        <w:shd w:fill="ffffff" w:val="clear"/>
        <w:spacing w:after="0" w:before="0" w:lineRule="auto"/>
        <w:jc w:val="both"/>
        <w:rPr>
          <w:i w:val="1"/>
          <w:iCs w:val="1"/>
        </w:rPr>
      </w:pPr>
      <w:r w:rsidDel="00000000" w:rsidR="00000000" w:rsidRPr="00000000">
        <w:rPr>
          <w:i w:val="1"/>
          <w:iCs w:val="1"/>
          <w:rtl w:val="0"/>
        </w:rPr>
        <w:t xml:space="preserve">Languages in which tenders or requests to participate may be submitted: </w:t>
      </w:r>
      <w:r w:rsidDel="00000000" w:rsidR="00000000" w:rsidRPr="00000000">
        <w:rPr>
          <w:rtl w:val="0"/>
        </w:rPr>
        <w:t xml:space="preserve">English</w:t>
      </w:r>
      <w:r w:rsidDel="00000000" w:rsidR="00000000" w:rsidRPr="00000000">
        <w:rPr>
          <w:rtl w:val="0"/>
        </w:rPr>
      </w:r>
    </w:p>
    <w:p w:rsidR="00000000" w:rsidDel="00000000" w:rsidP="00000000" w:rsidRDefault="00000000" w:rsidRPr="00000000" w14:paraId="00000058">
      <w:pPr>
        <w:widowControl w:val="1"/>
        <w:shd w:fill="ffffff" w:val="clear"/>
        <w:spacing w:after="0" w:before="0" w:lineRule="auto"/>
        <w:jc w:val="both"/>
        <w:rPr>
          <w:b w:val="0"/>
          <w:bCs w:val="0"/>
        </w:rPr>
      </w:pPr>
      <w:r w:rsidDel="00000000" w:rsidR="00000000" w:rsidRPr="00000000">
        <w:rPr>
          <w:i w:val="1"/>
          <w:iCs w:val="1"/>
          <w:rtl w:val="0"/>
        </w:rPr>
        <w:t xml:space="preserve">Deadline: 20/03/2026</w:t>
      </w:r>
      <w:r w:rsidDel="00000000" w:rsidR="00000000" w:rsidRPr="00000000">
        <w:rPr>
          <w:rtl w:val="0"/>
        </w:rPr>
      </w:r>
    </w:p>
    <w:p w:rsidR="00000000" w:rsidDel="00000000" w:rsidP="00000000" w:rsidRDefault="00000000" w:rsidRPr="00000000" w14:paraId="00000059">
      <w:pPr>
        <w:widowControl w:val="1"/>
        <w:shd w:fill="ffffff" w:val="clear"/>
        <w:spacing w:after="0" w:before="0" w:lineRule="auto"/>
        <w:jc w:val="both"/>
        <w:rPr>
          <w:i w:val="1"/>
          <w:iCs w:val="1"/>
        </w:rPr>
      </w:pPr>
      <w:r w:rsidDel="00000000" w:rsidR="00000000" w:rsidRPr="00000000">
        <w:rPr>
          <w:b w:val="0"/>
          <w:bCs w:val="0"/>
          <w:rtl w:val="0"/>
        </w:rPr>
        <w:t xml:space="preserve">Local Time: </w:t>
      </w:r>
      <w:r w:rsidDel="00000000" w:rsidR="00000000" w:rsidRPr="00000000">
        <w:rPr>
          <w:rtl w:val="0"/>
        </w:rPr>
        <w:t xml:space="preserve">15:00h</w:t>
      </w:r>
      <w:r w:rsidDel="00000000" w:rsidR="00000000" w:rsidRPr="00000000">
        <w:rPr>
          <w:rtl w:val="0"/>
        </w:rPr>
      </w:r>
    </w:p>
    <w:p w:rsidR="00000000" w:rsidDel="00000000" w:rsidP="00000000" w:rsidRDefault="00000000" w:rsidRPr="00000000" w14:paraId="0000005A">
      <w:pPr>
        <w:widowControl w:val="1"/>
        <w:shd w:fill="ffffff" w:val="clear"/>
        <w:spacing w:after="0" w:before="0" w:lineRule="auto"/>
        <w:jc w:val="both"/>
        <w:rPr>
          <w:i w:val="1"/>
          <w:iCs w:val="1"/>
          <w:highlight w:val="lightGray"/>
        </w:rPr>
      </w:pPr>
      <w:r w:rsidDel="00000000" w:rsidR="00000000" w:rsidRPr="00000000">
        <w:rPr>
          <w:i w:val="1"/>
          <w:iCs w:val="1"/>
          <w:rtl w:val="0"/>
        </w:rPr>
        <w:t xml:space="preserve">Deadline until which the tender must remain valid: </w:t>
      </w:r>
      <w:r w:rsidDel="00000000" w:rsidR="00000000" w:rsidRPr="00000000">
        <w:rPr>
          <w:b w:val="0"/>
          <w:bCs w:val="0"/>
          <w:rtl w:val="0"/>
        </w:rPr>
        <w:t xml:space="preserve">3 months from the date stated for receipt of tender.</w:t>
      </w:r>
      <w:r w:rsidDel="00000000" w:rsidR="00000000" w:rsidRPr="00000000">
        <w:rPr>
          <w:rtl w:val="0"/>
        </w:rPr>
      </w:r>
    </w:p>
    <w:p w:rsidR="00000000" w:rsidDel="00000000" w:rsidP="00000000" w:rsidRDefault="00000000" w:rsidRPr="00000000" w14:paraId="0000005B">
      <w:pPr>
        <w:widowControl w:val="1"/>
        <w:shd w:fill="ffffff" w:val="clear"/>
        <w:spacing w:after="0" w:before="0" w:lineRule="auto"/>
        <w:jc w:val="both"/>
        <w:rPr>
          <w:i w:val="1"/>
          <w:iCs w:val="1"/>
        </w:rPr>
      </w:pPr>
      <w:r w:rsidDel="00000000" w:rsidR="00000000" w:rsidRPr="00000000">
        <w:rPr>
          <w:i w:val="1"/>
          <w:iCs w:val="1"/>
          <w:rtl w:val="0"/>
        </w:rPr>
        <w:t xml:space="preserve">Terms of contract: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C">
      <w:pPr>
        <w:widowControl w:val="1"/>
        <w:shd w:fill="ffffff" w:val="clear"/>
        <w:spacing w:after="0" w:before="0" w:lineRule="auto"/>
        <w:jc w:val="both"/>
        <w:rPr>
          <w:i w:val="1"/>
          <w:iCs w:val="1"/>
        </w:rPr>
      </w:pPr>
      <w:r w:rsidDel="00000000" w:rsidR="00000000" w:rsidRPr="00000000">
        <w:rPr>
          <w:i w:val="1"/>
          <w:iCs w:val="1"/>
          <w:rtl w:val="0"/>
        </w:rPr>
        <w:t xml:space="preserve">Electronic invoicing: </w:t>
      </w:r>
      <w:r w:rsidDel="00000000" w:rsidR="00000000" w:rsidRPr="00000000">
        <w:rPr>
          <w:b w:val="0"/>
          <w:bCs w:val="0"/>
          <w:rtl w:val="0"/>
        </w:rPr>
        <w:t xml:space="preserve">not allowed.</w:t>
      </w:r>
      <w:r w:rsidDel="00000000" w:rsidR="00000000" w:rsidRPr="00000000">
        <w:rPr>
          <w:rtl w:val="0"/>
        </w:rPr>
      </w:r>
    </w:p>
    <w:p w:rsidR="00000000" w:rsidDel="00000000" w:rsidP="00000000" w:rsidRDefault="00000000" w:rsidRPr="00000000" w14:paraId="0000005D">
      <w:pPr>
        <w:widowControl w:val="1"/>
        <w:shd w:fill="ffffff" w:val="clear"/>
        <w:spacing w:after="0" w:before="0" w:lineRule="auto"/>
        <w:jc w:val="both"/>
        <w:rPr>
          <w:b w:val="0"/>
          <w:bCs w:val="0"/>
          <w:highlight w:val="lightGray"/>
        </w:rPr>
      </w:pPr>
      <w:r w:rsidDel="00000000" w:rsidR="00000000" w:rsidRPr="00000000">
        <w:rPr>
          <w:i w:val="1"/>
          <w:iCs w:val="1"/>
          <w:rtl w:val="0"/>
        </w:rPr>
        <w:t xml:space="preserve">Electronic payment will be used.</w:t>
      </w:r>
      <w:r w:rsidDel="00000000" w:rsidR="00000000" w:rsidRPr="00000000">
        <w:rPr>
          <w:rtl w:val="0"/>
        </w:rPr>
      </w:r>
    </w:p>
    <w:p w:rsidR="00000000" w:rsidDel="00000000" w:rsidP="00000000" w:rsidRDefault="00000000" w:rsidRPr="00000000" w14:paraId="0000005E">
      <w:pPr>
        <w:spacing w:after="0" w:before="0" w:lineRule="auto"/>
        <w:jc w:val="both"/>
        <w:rPr/>
      </w:pPr>
      <w:bookmarkStart w:colFirst="0" w:colLast="0" w:name="_nhhaccpp0jo9" w:id="2"/>
      <w:bookmarkEnd w:id="2"/>
      <w:r w:rsidDel="00000000" w:rsidR="00000000" w:rsidRPr="00000000">
        <w:rPr>
          <w:b w:val="1"/>
          <w:bCs w:val="1"/>
          <w:u w:val="single"/>
          <w:rtl w:val="0"/>
        </w:rPr>
        <w:t xml:space="preserve">8. Organisation</w:t>
      </w:r>
      <w:r w:rsidDel="00000000" w:rsidR="00000000" w:rsidRPr="00000000">
        <w:rPr>
          <w:rtl w:val="0"/>
        </w:rPr>
      </w:r>
    </w:p>
    <w:p w:rsidR="00000000" w:rsidDel="00000000" w:rsidP="00000000" w:rsidRDefault="00000000" w:rsidRPr="00000000" w14:paraId="0000005F">
      <w:pPr>
        <w:spacing w:after="0" w:before="0" w:lineRule="auto"/>
        <w:jc w:val="both"/>
        <w:rPr/>
      </w:pPr>
      <w:r w:rsidDel="00000000" w:rsidR="00000000" w:rsidRPr="00000000">
        <w:rPr>
          <w:rtl w:val="0"/>
        </w:rPr>
        <w:t xml:space="preserve">8.1 ORG-0001</w:t>
      </w:r>
    </w:p>
    <w:p w:rsidR="00000000" w:rsidDel="00000000" w:rsidP="00000000" w:rsidRDefault="00000000" w:rsidRPr="00000000" w14:paraId="00000060">
      <w:pPr>
        <w:spacing w:after="0" w:before="0" w:lineRule="auto"/>
        <w:jc w:val="both"/>
        <w:rPr/>
      </w:pPr>
      <w:r w:rsidDel="00000000" w:rsidR="00000000" w:rsidRPr="00000000">
        <w:rPr>
          <w:rtl w:val="0"/>
        </w:rPr>
        <w:t xml:space="preserve">Official name: Public Enterprise for National Parks of Montenegro</w:t>
      </w:r>
    </w:p>
    <w:p w:rsidR="00000000" w:rsidDel="00000000" w:rsidP="00000000" w:rsidRDefault="00000000" w:rsidRPr="00000000" w14:paraId="00000061">
      <w:pPr>
        <w:spacing w:after="0" w:before="0" w:lineRule="auto"/>
        <w:jc w:val="both"/>
        <w:rPr/>
      </w:pPr>
      <w:r w:rsidDel="00000000" w:rsidR="00000000" w:rsidRPr="00000000">
        <w:rPr>
          <w:rtl w:val="0"/>
        </w:rPr>
        <w:t xml:space="preserve">Registration number: 02039460</w:t>
      </w:r>
    </w:p>
    <w:p w:rsidR="00000000" w:rsidDel="00000000" w:rsidP="00000000" w:rsidRDefault="00000000" w:rsidRPr="00000000" w14:paraId="00000062">
      <w:pPr>
        <w:spacing w:after="0" w:before="0" w:lineRule="auto"/>
        <w:jc w:val="both"/>
        <w:rPr/>
      </w:pPr>
      <w:r w:rsidDel="00000000" w:rsidR="00000000" w:rsidRPr="00000000">
        <w:rPr>
          <w:rtl w:val="0"/>
        </w:rPr>
        <w:t xml:space="preserve">Town: Podgorica</w:t>
      </w:r>
    </w:p>
    <w:p w:rsidR="00000000" w:rsidDel="00000000" w:rsidP="00000000" w:rsidRDefault="00000000" w:rsidRPr="00000000" w14:paraId="00000063">
      <w:pPr>
        <w:spacing w:after="0" w:before="0" w:lineRule="auto"/>
        <w:jc w:val="both"/>
        <w:rPr/>
      </w:pPr>
      <w:r w:rsidDel="00000000" w:rsidR="00000000" w:rsidRPr="00000000">
        <w:rPr>
          <w:rtl w:val="0"/>
        </w:rPr>
        <w:t xml:space="preserve">Postcode: 81000</w:t>
      </w:r>
    </w:p>
    <w:p w:rsidR="00000000" w:rsidDel="00000000" w:rsidP="00000000" w:rsidRDefault="00000000" w:rsidRPr="00000000" w14:paraId="00000064">
      <w:pPr>
        <w:spacing w:after="0" w:before="0" w:lineRule="auto"/>
        <w:jc w:val="both"/>
        <w:rPr/>
      </w:pPr>
      <w:r w:rsidDel="00000000" w:rsidR="00000000" w:rsidRPr="00000000">
        <w:rPr>
          <w:rtl w:val="0"/>
        </w:rPr>
        <w:t xml:space="preserve">Country: Montenegro</w:t>
      </w:r>
    </w:p>
    <w:p w:rsidR="00000000" w:rsidDel="00000000" w:rsidP="00000000" w:rsidRDefault="00000000" w:rsidRPr="00000000" w14:paraId="00000065">
      <w:pPr>
        <w:spacing w:after="0" w:before="0" w:lineRule="auto"/>
        <w:jc w:val="both"/>
        <w:rPr/>
      </w:pPr>
      <w:r w:rsidDel="00000000" w:rsidR="00000000" w:rsidRPr="00000000">
        <w:rPr>
          <w:rtl w:val="0"/>
        </w:rPr>
        <w:t xml:space="preserve">Email:  npcg@nparkovi.me </w:t>
      </w:r>
    </w:p>
    <w:p w:rsidR="00000000" w:rsidDel="00000000" w:rsidP="00000000" w:rsidRDefault="00000000" w:rsidRPr="00000000" w14:paraId="00000066">
      <w:pPr>
        <w:spacing w:after="0" w:before="0" w:lineRule="auto"/>
        <w:jc w:val="both"/>
        <w:rPr/>
      </w:pPr>
      <w:r w:rsidDel="00000000" w:rsidR="00000000" w:rsidRPr="00000000">
        <w:rPr>
          <w:rtl w:val="0"/>
        </w:rPr>
        <w:t xml:space="preserve">Internet address: https://nparkovi.me/</w:t>
      </w:r>
    </w:p>
    <w:p w:rsidR="00000000" w:rsidDel="00000000" w:rsidP="00000000" w:rsidRDefault="00000000" w:rsidRPr="00000000" w14:paraId="00000067">
      <w:pPr>
        <w:spacing w:after="0" w:before="0" w:lineRule="auto"/>
        <w:jc w:val="both"/>
        <w:rPr/>
      </w:pPr>
      <w:r w:rsidDel="00000000" w:rsidR="00000000" w:rsidRPr="00000000">
        <w:rPr>
          <w:rtl w:val="0"/>
        </w:rPr>
        <w:t xml:space="preserve">Roles of this organisation: Buyer (“Buyer”</w:t>
      </w:r>
      <w:r w:rsidDel="00000000" w:rsidR="00000000" w:rsidRPr="00000000">
        <w:rPr>
          <w:b w:val="1"/>
          <w:bCs w:val="1"/>
          <w:rtl w:val="0"/>
        </w:rPr>
        <w:t xml:space="preserve"> </w:t>
      </w:r>
      <w:r w:rsidDel="00000000" w:rsidR="00000000" w:rsidRPr="00000000">
        <w:rPr>
          <w:rtl w:val="0"/>
        </w:rPr>
        <w:t xml:space="preserve">in this context refers to contracting authority)</w:t>
      </w:r>
    </w:p>
    <w:p w:rsidR="00000000" w:rsidDel="00000000" w:rsidP="00000000" w:rsidRDefault="00000000" w:rsidRPr="00000000" w14:paraId="00000068">
      <w:pPr>
        <w:spacing w:after="0" w:before="0" w:lineRule="auto"/>
        <w:jc w:val="both"/>
        <w:rPr/>
      </w:pPr>
      <w:r w:rsidDel="00000000" w:rsidR="00000000" w:rsidRPr="00000000">
        <w:rPr>
          <w:rtl w:val="0"/>
        </w:rPr>
      </w:r>
    </w:p>
    <w:p w:rsidR="00000000" w:rsidDel="00000000" w:rsidP="00000000" w:rsidRDefault="00000000" w:rsidRPr="00000000" w14:paraId="00000069">
      <w:pPr>
        <w:spacing w:after="0" w:before="0" w:lineRule="auto"/>
        <w:jc w:val="both"/>
        <w:rPr/>
      </w:pPr>
      <w:r w:rsidDel="00000000" w:rsidR="00000000" w:rsidRPr="00000000">
        <w:rPr>
          <w:rtl w:val="0"/>
        </w:rPr>
      </w:r>
    </w:p>
    <w:sectPr>
      <w:headerReference r:id="rId7" w:type="default"/>
      <w:footerReference r:id="rId8" w:type="default"/>
      <w:pgSz w:h="15840" w:w="12240" w:orient="portrait"/>
      <w:pgMar w:bottom="1276" w:top="487" w:left="1418" w:right="1440" w:header="851" w:footer="6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214"/>
      </w:tabs>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2025</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214"/>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a5e_contractnotice_en.docx</w:t>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142" w:right="0" w:hanging="142"/>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Regulation (EU, Euratom) 2024/2509 of the European Parliament and of the Council of 23 September 2024 on the financial rules applicable to the general budget of the Union (recast), PE/99/2023/REV/1, OJ L, 2024/2509, 26.9.2024, ELI: </w:t>
      </w:r>
      <w:hyperlink r:id="rId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http://data.europa.eu/eli/reg/2024/2509/oj</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-1266824</wp:posOffset>
              </wp:positionH>
              <wp:positionV relativeFrom="paragraph">
                <wp:posOffset>-419099</wp:posOffset>
              </wp:positionV>
              <wp:extent cx="8326041" cy="1233488"/>
              <wp:effectExtent b="0" l="0" r="0" t="0"/>
              <wp:wrapTopAndBottom distB="114300" distT="114300"/>
              <wp:docPr id="1" name=""/>
              <a:graphic>
                <a:graphicData uri="http://schemas.microsoft.com/office/word/2010/wordprocessingGroup">
                  <wpg:wgp>
                    <wpg:cNvGrpSpPr/>
                    <wpg:grpSpPr>
                      <a:xfrm>
                        <a:off x="1182975" y="3163250"/>
                        <a:ext cx="8326041" cy="1233488"/>
                        <a:chOff x="1182975" y="3163250"/>
                        <a:chExt cx="8719000" cy="1233500"/>
                      </a:xfrm>
                    </wpg:grpSpPr>
                    <wpg:grpSp>
                      <wpg:cNvGrpSpPr/>
                      <wpg:grpSpPr>
                        <a:xfrm>
                          <a:off x="1182980" y="3163256"/>
                          <a:ext cx="8718979" cy="1233488"/>
                          <a:chOff x="152400" y="152400"/>
                          <a:chExt cx="7820025" cy="1085875"/>
                        </a:xfrm>
                      </wpg:grpSpPr>
                      <wps:wsp>
                        <wps:cNvSpPr/>
                        <wps:cNvPr id="3" name="Shape 3"/>
                        <wps:spPr>
                          <a:xfrm>
                            <a:off x="152400" y="152400"/>
                            <a:ext cx="7467600" cy="1085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152400" y="152400"/>
                            <a:ext cx="7820025" cy="1085850"/>
                          </a:xfrm>
                          <a:prstGeom prst="rect">
                            <a:avLst/>
                          </a:prstGeom>
                          <a:noFill/>
                          <a:ln>
                            <a:noFill/>
                          </a:ln>
                        </pic:spPr>
                      </pic:pic>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-1266824</wp:posOffset>
              </wp:positionH>
              <wp:positionV relativeFrom="paragraph">
                <wp:posOffset>-419099</wp:posOffset>
              </wp:positionV>
              <wp:extent cx="8326041" cy="123348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8326041" cy="123348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rFonts w:ascii="Arial" w:cs="Arial" w:eastAsia="Arial" w:hAnsi="Arial"/>
        <w:b w:val="1"/>
        <w:bCs w:val="1"/>
        <w:u w:val="none"/>
      </w:rPr>
    </w:lvl>
    <w:lvl w:ilvl="1">
      <w:start w:val="1"/>
      <w:numFmt w:val="lowerRoman"/>
      <w:lvlText w:val="%2)"/>
      <w:lvlJc w:val="right"/>
      <w:pPr>
        <w:ind w:left="2160" w:hanging="360"/>
      </w:pPr>
      <w:rPr>
        <w:rFonts w:ascii="Times New Roman" w:cs="Times New Roman" w:eastAsia="Times New Roman" w:hAnsi="Times New Roman"/>
        <w:b w:val="1"/>
        <w:bCs w:val="1"/>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490" w:hanging="360"/>
      </w:pPr>
      <w:rPr>
        <w:rFonts w:ascii="Times New Roman" w:cs="Times New Roman" w:eastAsia="Times New Roman" w:hAnsi="Times New Roman"/>
        <w:b w:val="1"/>
        <w:bCs w:val="1"/>
        <w:u w:val="none"/>
      </w:rPr>
    </w:lvl>
    <w:lvl w:ilvl="1">
      <w:start w:val="1"/>
      <w:numFmt w:val="lowerLetter"/>
      <w:lvlText w:val="%2."/>
      <w:lvlJc w:val="left"/>
      <w:pPr>
        <w:ind w:left="1210" w:hanging="360"/>
      </w:pPr>
      <w:rPr>
        <w:rFonts w:ascii="Times New Roman" w:cs="Times New Roman" w:eastAsia="Times New Roman" w:hAnsi="Times New Roman"/>
        <w:b w:val="1"/>
        <w:bCs w:val="1"/>
        <w:u w:val="none"/>
      </w:rPr>
    </w:lvl>
    <w:lvl w:ilvl="2">
      <w:start w:val="1"/>
      <w:numFmt w:val="lowerRoman"/>
      <w:lvlText w:val="%3."/>
      <w:lvlJc w:val="right"/>
      <w:pPr>
        <w:ind w:left="1930" w:hanging="180"/>
      </w:pPr>
      <w:rPr>
        <w:u w:val="none"/>
      </w:rPr>
    </w:lvl>
    <w:lvl w:ilvl="3">
      <w:start w:val="1"/>
      <w:numFmt w:val="decimal"/>
      <w:lvlText w:val="%4."/>
      <w:lvlJc w:val="left"/>
      <w:pPr>
        <w:ind w:left="2650" w:hanging="360"/>
      </w:pPr>
      <w:rPr>
        <w:u w:val="none"/>
      </w:rPr>
    </w:lvl>
    <w:lvl w:ilvl="4">
      <w:start w:val="1"/>
      <w:numFmt w:val="lowerLetter"/>
      <w:lvlText w:val="%5."/>
      <w:lvlJc w:val="left"/>
      <w:pPr>
        <w:ind w:left="3370" w:hanging="360"/>
      </w:pPr>
      <w:rPr>
        <w:u w:val="none"/>
      </w:rPr>
    </w:lvl>
    <w:lvl w:ilvl="5">
      <w:start w:val="1"/>
      <w:numFmt w:val="lowerRoman"/>
      <w:lvlText w:val="%6."/>
      <w:lvlJc w:val="right"/>
      <w:pPr>
        <w:ind w:left="4090" w:hanging="180"/>
      </w:pPr>
      <w:rPr>
        <w:u w:val="none"/>
      </w:rPr>
    </w:lvl>
    <w:lvl w:ilvl="6">
      <w:start w:val="1"/>
      <w:numFmt w:val="decimal"/>
      <w:lvlText w:val="%7."/>
      <w:lvlJc w:val="left"/>
      <w:pPr>
        <w:ind w:left="4810" w:hanging="360"/>
      </w:pPr>
      <w:rPr>
        <w:u w:val="none"/>
      </w:rPr>
    </w:lvl>
    <w:lvl w:ilvl="7">
      <w:start w:val="1"/>
      <w:numFmt w:val="lowerLetter"/>
      <w:lvlText w:val="%8."/>
      <w:lvlJc w:val="left"/>
      <w:pPr>
        <w:ind w:left="5530" w:hanging="360"/>
      </w:pPr>
      <w:rPr>
        <w:u w:val="none"/>
      </w:rPr>
    </w:lvl>
    <w:lvl w:ilvl="8">
      <w:start w:val="1"/>
      <w:numFmt w:val="lowerRoman"/>
      <w:lvlText w:val="%9."/>
      <w:lvlJc w:val="right"/>
      <w:pPr>
        <w:ind w:left="6250" w:hanging="180"/>
      </w:pPr>
      <w:rPr>
        <w:u w:val="none"/>
      </w:rPr>
    </w:lvl>
  </w:abstractNum>
  <w:abstractNum w:abstractNumId="3">
    <w:lvl w:ilvl="0">
      <w:start w:val="1"/>
      <w:numFmt w:val="decimal"/>
      <w:lvlText w:val="%1."/>
      <w:lvlJc w:val="left"/>
      <w:pPr>
        <w:ind w:left="360" w:hanging="360"/>
      </w:pPr>
      <w:rPr>
        <w:b w:val="1"/>
        <w:bCs w:val="1"/>
      </w:rPr>
    </w:lvl>
    <w:lvl w:ilvl="1">
      <w:start w:val="1"/>
      <w:numFmt w:val="decimal"/>
      <w:lvlText w:val="%1.%2."/>
      <w:lvlJc w:val="left"/>
      <w:pPr>
        <w:ind w:left="432" w:hanging="432"/>
      </w:pPr>
      <w:rPr>
        <w:b w:val="1"/>
        <w:bCs w:val="1"/>
      </w:rPr>
    </w:lvl>
    <w:lvl w:ilvl="2">
      <w:start w:val="1"/>
      <w:numFmt w:val="decimal"/>
      <w:lvlText w:val="%1.%2.%3."/>
      <w:lvlJc w:val="left"/>
      <w:pPr>
        <w:ind w:left="504" w:hanging="504"/>
      </w:pPr>
      <w:rPr>
        <w:b w:val="1"/>
        <w:bCs w:val="1"/>
        <w:i w:val="0"/>
        <w:i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2"/>
      <w:numFmt w:val="decimal"/>
      <w:lvlText w:val="%1."/>
      <w:lvlJc w:val="left"/>
      <w:pPr>
        <w:ind w:left="510" w:hanging="510"/>
      </w:pPr>
      <w:rPr>
        <w:u w:val="none"/>
      </w:rPr>
    </w:lvl>
    <w:lvl w:ilvl="1">
      <w:start w:val="1"/>
      <w:numFmt w:val="decimal"/>
      <w:lvlText w:val="%1.%2."/>
      <w:lvlJc w:val="left"/>
      <w:pPr>
        <w:ind w:left="762" w:hanging="510"/>
      </w:pPr>
      <w:rPr>
        <w:u w:val="none"/>
      </w:rPr>
    </w:lvl>
    <w:lvl w:ilvl="2">
      <w:start w:val="3"/>
      <w:numFmt w:val="decimal"/>
      <w:lvlText w:val="%1.%2.%3."/>
      <w:lvlJc w:val="left"/>
      <w:pPr>
        <w:ind w:left="720" w:hanging="720"/>
      </w:pPr>
      <w:rPr>
        <w:u w:val="none"/>
      </w:rPr>
    </w:lvl>
    <w:lvl w:ilvl="3">
      <w:start w:val="1"/>
      <w:numFmt w:val="decimal"/>
      <w:lvlText w:val="%1.%2.%3.%4."/>
      <w:lvlJc w:val="left"/>
      <w:pPr>
        <w:ind w:left="1476" w:hanging="720"/>
      </w:pPr>
      <w:rPr>
        <w:u w:val="none"/>
      </w:rPr>
    </w:lvl>
    <w:lvl w:ilvl="4">
      <w:start w:val="1"/>
      <w:numFmt w:val="decimal"/>
      <w:lvlText w:val="%1.%2.%3.%4.%5."/>
      <w:lvlJc w:val="left"/>
      <w:pPr>
        <w:ind w:left="2088" w:hanging="1080"/>
      </w:pPr>
      <w:rPr>
        <w:u w:val="none"/>
      </w:rPr>
    </w:lvl>
    <w:lvl w:ilvl="5">
      <w:start w:val="1"/>
      <w:numFmt w:val="decimal"/>
      <w:lvlText w:val="%1.%2.%3.%4.%5.%6."/>
      <w:lvlJc w:val="left"/>
      <w:pPr>
        <w:ind w:left="2340" w:hanging="1080"/>
      </w:pPr>
      <w:rPr>
        <w:u w:val="none"/>
      </w:rPr>
    </w:lvl>
    <w:lvl w:ilvl="6">
      <w:start w:val="1"/>
      <w:numFmt w:val="decimal"/>
      <w:lvlText w:val="%1.%2.%3.%4.%5.%6.%7."/>
      <w:lvlJc w:val="left"/>
      <w:pPr>
        <w:ind w:left="2952" w:hanging="1440"/>
      </w:pPr>
      <w:rPr>
        <w:u w:val="none"/>
      </w:rPr>
    </w:lvl>
    <w:lvl w:ilvl="7">
      <w:start w:val="1"/>
      <w:numFmt w:val="decimal"/>
      <w:lvlText w:val="%1.%2.%3.%4.%5.%6.%7.%8."/>
      <w:lvlJc w:val="left"/>
      <w:pPr>
        <w:ind w:left="3204" w:hanging="1440.0000000000002"/>
      </w:pPr>
      <w:rPr>
        <w:u w:val="none"/>
      </w:rPr>
    </w:lvl>
    <w:lvl w:ilvl="8">
      <w:start w:val="1"/>
      <w:numFmt w:val="decimal"/>
      <w:lvlText w:val="%1.%2.%3.%4.%5.%6.%7.%8.%9."/>
      <w:lvlJc w:val="left"/>
      <w:pPr>
        <w:ind w:left="3816" w:hanging="1799.9999999999998"/>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spacing w:after="100" w:before="1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widowControl w:val="1"/>
      <w:spacing w:after="120" w:before="120" w:lineRule="auto"/>
    </w:pPr>
    <w:rPr>
      <w:rFonts w:ascii="Arial" w:cs="Arial" w:eastAsia="Arial" w:hAnsi="Arial"/>
      <w:sz w:val="20"/>
      <w:szCs w:val="20"/>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widowControl w:val="1"/>
      <w:spacing w:after="120" w:before="120" w:lineRule="auto"/>
      <w:jc w:val="center"/>
    </w:pPr>
    <w:rPr>
      <w:rFonts w:ascii="Arial" w:cs="Arial" w:eastAsia="Arial" w:hAnsi="Arial"/>
      <w:b w:val="1"/>
      <w:bCs w:val="1"/>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2024/2509/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2024-01-24T18:16:33Z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950a7a8b-0b2b-4f35-87d3-da8cfb559a2e</vt:lpwstr>
  </property>
  <property fmtid="{D5CDD505-2E9C-101B-9397-08002B2CF9AE}" pid="10" name="MSIP_Label_6bd9ddd1-4d20-43f6-abfa-fc3c07406f94_ContentBits">
    <vt:lpwstr>0</vt:lpwstr>
  </property>
</Properties>
</file>